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Raport Architektury Korporacyjnej: Pilotażowe Wdrożenie Cyfrowych Badań Klinicznych Nowego Kosmetyku (Zadanie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Wersja:</w:t>
      </w:r>
      <w:r w:rsidDel="00000000" w:rsidR="00000000" w:rsidRPr="00000000">
        <w:rPr>
          <w:rFonts w:ascii="Google Sans Text" w:cs="Google Sans Text" w:eastAsia="Google Sans Text" w:hAnsi="Google Sans Text"/>
          <w:color w:val="1f1f1f"/>
          <w:rtl w:val="0"/>
        </w:rPr>
        <w:t xml:space="preserve">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16 stycznia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Finalny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Autor:</w:t>
      </w:r>
      <w:r w:rsidDel="00000000" w:rsidR="00000000" w:rsidRPr="00000000">
        <w:rPr>
          <w:rFonts w:ascii="Google Sans Text" w:cs="Google Sans Text" w:eastAsia="Google Sans Text" w:hAnsi="Google Sans Text"/>
          <w:color w:val="1f1f1f"/>
          <w:rtl w:val="0"/>
        </w:rPr>
        <w:t xml:space="preserve"> Zespół Architektury Korporacyjnej</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Dla:</w:t>
      </w:r>
      <w:r w:rsidDel="00000000" w:rsidR="00000000" w:rsidRPr="00000000">
        <w:rPr>
          <w:rFonts w:ascii="Google Sans Text" w:cs="Google Sans Text" w:eastAsia="Google Sans Text" w:hAnsi="Google Sans Text"/>
          <w:color w:val="1f1f1f"/>
          <w:rtl w:val="0"/>
        </w:rPr>
        <w:t xml:space="preserve"> Zarząd Operacyjny, Dział Badań i Rozwoju (R&amp;D), Dział Jakości (QA)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Kontekst Biznesowy i Operacyjny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Wprowadzenie do Domeny i Uwarunkowania Rynkowe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Współczesny przemysł kosmetyczny znajduje się w fazie fundamentalnej transformacji, ewoluując z modelu opartego na deklaracjach marketingowych w kierunku paradygmatu „Evidence-Based Beauty” (piękno oparte na dowodach). Konsumenci, dysponujący coraz większą wiedzą na temat składników aktywnych i fizjologii skóry, oczekują od produktów kosmetycznych nie tylko bezpieczeństwa, ale przede wszystkim udowodnionej klinicznie skuteczności.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 odpowiedzi na te wymagania, producenci dermokosmetyków i produktów o zaawansowanym działaniu przeciwstarzeniowym (anti-aging) adaptują standardy badawcze wywodzące się z przemysłu farmaceutycznego, w tym Dobrą Praktykę Kliniczną (GCP – Good Clinical Practice).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Przedmiotem niniejszego raportu jest analiza architektoniczna pilotażowego wdrożenia środowiska cyfrowego do obsługi badań klinicznych dla nowego produktu kosmetycznego (Zadanie 4). Projekt ten ma charakter strategiczny, gdyż dotyczy produktu innowacyjnego, którego wejście na rynek musi zostać poparte twardymi danymi naukowymi, przy jednoczesnym zachowaniu najwyższych standardów etycznych i regulacyjnych.</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Tradycyjne podejście do badań kosmetycznych, oparte na papierowej dokumentacji (pCRF – paper Case Report Forms) i manualnych procesach rekrutacji, staje się niewystarczające w obliczu presji czasu (Time-to-Market) oraz rosnących wymogów regulacyjnych dotyczących transparentności danych (Data Integrity).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Główne wyzwania rynkowe identyfikowane w analizie 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Długi czas rekrutacji:</w:t>
      </w:r>
      <w:r w:rsidDel="00000000" w:rsidR="00000000" w:rsidRPr="00000000">
        <w:rPr>
          <w:rFonts w:ascii="Google Sans Text" w:cs="Google Sans Text" w:eastAsia="Google Sans Text" w:hAnsi="Google Sans Text"/>
          <w:color w:val="1f1f1f"/>
          <w:rtl w:val="0"/>
        </w:rPr>
        <w:t xml:space="preserve"> Tradycyjne metody naboru pacjentów do badań dermatologicznych są nieefektywne, prowadząc do opóźnień sięgających 30% harmonogramu.</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Jakość danych o bezpieczeństwie:</w:t>
      </w:r>
      <w:r w:rsidDel="00000000" w:rsidR="00000000" w:rsidRPr="00000000">
        <w:rPr>
          <w:rFonts w:ascii="Google Sans Text" w:cs="Google Sans Text" w:eastAsia="Google Sans Text" w:hAnsi="Google Sans Text"/>
          <w:color w:val="1f1f1f"/>
          <w:rtl w:val="0"/>
        </w:rPr>
        <w:t xml:space="preserve"> W modelach papierowych zdarzenia niepożądane (AE – Adverse Events) są często raportowane z opóźnieniem lub pomijane przez uczestników, co rodzi ryzyko niedoszacowania profilu bezpieczeństwa produktu.</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Rozproszenie danych:</w:t>
      </w:r>
      <w:r w:rsidDel="00000000" w:rsidR="00000000" w:rsidRPr="00000000">
        <w:rPr>
          <w:rFonts w:ascii="Google Sans Text" w:cs="Google Sans Text" w:eastAsia="Google Sans Text" w:hAnsi="Google Sans Text"/>
          <w:color w:val="1f1f1f"/>
          <w:rtl w:val="0"/>
        </w:rPr>
        <w:t xml:space="preserve"> Brak integracji między systemami zarządzania badaniem (CTMS), randomizacji (IRT) i zbierania danych (EDC) prowadzi do redundancji i błędów, wydłużając czas zamykania bazy danych (Data Lock).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Transformacja cyfrowa, będąca przedmiotem tego opracowania, zakłada wdrożenie zintegrowanego ekosystemu „eClinical”, obejmującego eConsent, EDC, IRT oraz ePRO, w celu zautomatyzowania przepływów pracy i zapewnienia zgodności z normami GCP oraz regulacjami FDA 21 CFR Part 11 i RODO.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Cele Strategiczne i Wskaźniki Sukcesu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dyrektywą zarządczą zawartą w definicji Zadania 4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nadrzędnym celem projektu jest uruchomienie pilotażu badania klinicznego z pełną zgodnością GCP, przy jednoczesnym radykalnym usprawnieniu parametrów operacyjnych. Organizacja zdefiniowała cele, które nie są jedynie inkrementalną poprawą, lecz wymagają przebudowy architektury procesowej i technologicznej.</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Poniższa tabela przedstawia szczegółową dekompozycję celów strategicznych na mierzalne wskaźniki (KPI) wraz z uzasadnieniem architektonicznym.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 Strategiczny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Wskaźnik Sukcesu (KPI)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Wartość Bazowa (AS-IS)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Wartość Docelowa (TO-BE)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Uzasadnienie Architektoniczne i Biznesowe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Przyspieszenie Rekrutacji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Czas trwania fazy naboru (Recruitment Cycle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dni (estymacja dla metody tradycyjnej)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 dni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Implementacja </w:t>
            </w:r>
            <w:r w:rsidDel="00000000" w:rsidR="00000000" w:rsidRPr="00000000">
              <w:rPr>
                <w:rFonts w:ascii="Google Sans Text" w:cs="Google Sans Text" w:eastAsia="Google Sans Text" w:hAnsi="Google Sans Text"/>
                <w:b w:val="1"/>
                <w:bCs w:val="1"/>
                <w:color w:val="1f1f1f"/>
                <w:shd w:fill="auto" w:val="clear"/>
                <w:rtl w:val="0"/>
              </w:rPr>
              <w:t xml:space="preserve">eConsent</w:t>
            </w:r>
            <w:r w:rsidDel="00000000" w:rsidR="00000000" w:rsidRPr="00000000">
              <w:rPr>
                <w:rFonts w:ascii="Google Sans Text" w:cs="Google Sans Text" w:eastAsia="Google Sans Text" w:hAnsi="Google Sans Text"/>
                <w:color w:val="1f1f1f"/>
                <w:shd w:fill="auto" w:val="clear"/>
                <w:rtl w:val="0"/>
              </w:rPr>
              <w:t xml:space="preserve"> oraz pre-screeningu online umożliwia zdalną kwalifikację kandydatów i eliminuje konieczność wizyt fizycznych wyłącznie w celu podpisania dokumentów. Zautomatyzowane lejki rekrutacyjne zwiększają konwersję kandydatów.</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Kompletność Danych Bezpieczeństwa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Wskaźnik raportowania AE (AE Reporting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~70-80% (zależne od pamięci pacjenta podczas wizyt)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Wdrożenie aplikacji mobilnej </w:t>
            </w:r>
            <w:r w:rsidDel="00000000" w:rsidR="00000000" w:rsidRPr="00000000">
              <w:rPr>
                <w:rFonts w:ascii="Google Sans Text" w:cs="Google Sans Text" w:eastAsia="Google Sans Text" w:hAnsi="Google Sans Text"/>
                <w:b w:val="1"/>
                <w:bCs w:val="1"/>
                <w:color w:val="1f1f1f"/>
                <w:shd w:fill="auto" w:val="clear"/>
                <w:rtl w:val="0"/>
              </w:rPr>
              <w:t xml:space="preserve">ePRO</w:t>
            </w:r>
            <w:r w:rsidDel="00000000" w:rsidR="00000000" w:rsidRPr="00000000">
              <w:rPr>
                <w:rFonts w:ascii="Google Sans Text" w:cs="Google Sans Text" w:eastAsia="Google Sans Text" w:hAnsi="Google Sans Text"/>
                <w:color w:val="1f1f1f"/>
                <w:shd w:fill="auto" w:val="clear"/>
                <w:rtl w:val="0"/>
              </w:rPr>
              <w:t xml:space="preserve"> z funkcją „Real-time Reporting” pozwala uczestnikom na zgłaszanie zdarzeń w momencie ich wystąpienia. Integracja z EDC generuje natychmiastowe alerty dla badaczy, wymuszając ocenę zdarzenia.</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Zgodność Regulacyjna (GCP/Part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Liczba krytycznych niezgodności (Critical Findings) w audycie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Ryzyko wysokie (błędy w papierowych datach, brak podpisów)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Systemy cyfrowe wymuszają integralność danych (Data Integrity) poprzez automatyczne ścieżki audytu (Audit Trails), walidację danych wejściowych i podpisy elektroniczne zgodne z FDA 21 CFR Part 11.</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Efektywność Operacyjna (Data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Czas od ostatniej wizyty pacjenta do zamknięcia bazy (LPLV to DB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45-60 dni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 5 dni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Integracja systemów EDC-IRT-ePRO eliminuje konieczność ręcznej rekoncyliacji danych (porównywania wpisów w różnych systemach). Dane są „czyste” od momentu wprowadzenia (Source Data is Electronic), co pozwala na tzw. Continuous Data Cleaning.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Realizacja tych celów wymaga odejścia od modelu, w którym dane są wprowadzane post-factum przez personel ośrodka (transkrypcja z papieru), na rzecz modelu „Direct Data Capture”, gdzie dane trafiają do systemu w czasie rzeczywistym bezpośrednio od źródła (pacjent, urządzenie, badacz).</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Zakres Modelowania i Granice Systemu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 obejmuje pełny cykl życia badania klinicznego dla nowego kosmetyku, z wyłączeniem fazy produkcji i dystrybucji samego produktu (z wyjątkiem interfejsów logistycznych IRT). Granice systemu obejmują następujące domeny procesowe:</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Zarządzanie Uczestnikiem (Participant Management):</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Rekrutacja wielokanałowa (Social Media, bazy własne).</w:t>
      </w:r>
    </w:p>
    <w:p w:rsidR="00000000" w:rsidDel="00000000" w:rsidP="00000000" w:rsidRDefault="00000000" w:rsidRPr="00000000" w14:paraId="0000003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Wstępna kwalifikacja (Pre-screening) oparta na kryteriach włączenia/wyłączenia (np. wiek, fototyp skóry, alergie).</w:t>
      </w:r>
    </w:p>
    <w:p w:rsidR="00000000" w:rsidDel="00000000" w:rsidP="00000000" w:rsidRDefault="00000000" w:rsidRPr="00000000" w14:paraId="00000033">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Proces świadomej zgody (Informed Consent) w modelu hybrydowym lub zdalnym.</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Realizacja Badania (Clinical Conduct):</w:t>
      </w:r>
    </w:p>
    <w:p w:rsidR="00000000" w:rsidDel="00000000" w:rsidP="00000000" w:rsidRDefault="00000000" w:rsidRPr="00000000" w14:paraId="00000035">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Randomizacja i zaślepienie (Blinding) – przydział do grupy testowej lub kontrolnej.</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Zarządzanie wizytami stacjonarnymi (Screening, Baseline, Follow-up).</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Dystrybucja produktu badanego (Investigational Product) do uczestnika.</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Gromadzenie i Zarządzanie Danymi (Data Collection &amp; Management):</w:t>
      </w:r>
    </w:p>
    <w:p w:rsidR="00000000" w:rsidDel="00000000" w:rsidP="00000000" w:rsidRDefault="00000000" w:rsidRPr="00000000" w14:paraId="00000039">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Gromadzenie danych klinicznych (ocena dermatologiczna, pomiary instrumentalne np. korneometrem) w eCRF.</w:t>
      </w:r>
    </w:p>
    <w:p w:rsidR="00000000" w:rsidDel="00000000" w:rsidP="00000000" w:rsidRDefault="00000000" w:rsidRPr="00000000" w14:paraId="0000003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Gromadzenie danych od pacjenta (ocena subiektywna, jakość życia, dzienniczek użycia) w ePRO.</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Kodowanie medyczne zdarzeń (słowniki MedDRA) i leków towarzyszących (WHO Drug).</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Bezpieczeństwo i Nadzór (Safety &amp; Oversight):</w:t>
      </w:r>
    </w:p>
    <w:p w:rsidR="00000000" w:rsidDel="00000000" w:rsidP="00000000" w:rsidRDefault="00000000" w:rsidRPr="00000000" w14:paraId="0000003D">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Wykrywanie, ocena i raportowanie Zdarzeń Niepożądanych (AE) oraz Poważnych Zdarzeń Niepożądanych (SAE/SUE – Serious Undesirable Effects).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Monitorowanie ryzyka (Risk-Based Monitoring) i weryfikacja danych źródłowych (SDV).</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Wyłączone z zakresu są procesy finansowe (płatności dla ośrodków – choć dane do nich są generowane w CTMS) oraz szczegółowa analiza laboratoryjna próbek biologicznych (LIMS), chyba że wyniki są przesyłane bezpośrednio do EDC.</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Analiza Interesariuszy (Stakeholders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Zidentyfikowano kluczowe grupy interesariuszy, których potrzeby determinują kształt architektury systemowej. Poniższa analiza wskazuje na ich "punkty bólu" oraz oczekiwane korzyści z wdrożenia.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Interesariusz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Rola w Procesie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Główne Problemy (Pain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Oczekiwania względem Systemu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Główny Badacz (PI - Principal Investigator)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Odpowiedzialność medyczna i etyczna za badanie w ośrodku.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Przeciążenie biurokracją, konieczność logowania do wielu niezintegrowanych systemów, trudność w śledzeniu statusu pacjentów.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Single Sign-On (SSO)</w:t>
            </w:r>
            <w:r w:rsidDel="00000000" w:rsidR="00000000" w:rsidRPr="00000000">
              <w:rPr>
                <w:rFonts w:ascii="Google Sans Text" w:cs="Google Sans Text" w:eastAsia="Google Sans Text" w:hAnsi="Google Sans Text"/>
                <w:color w:val="1f1f1f"/>
                <w:shd w:fill="auto" w:val="clear"/>
                <w:rtl w:val="0"/>
              </w:rPr>
              <w:t xml:space="preserve"> do wszystkich aplikacji. Zintegrowany pulpit (Dashboard) pokazujący alerty bezpieczeństwa i harmonogram wizyt.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Koordynator Badania (CRC)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Zarządzanie logistyką wizyt i wprowadzanie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Czasochłonna transkrypcja danych z papieru do EDC, ryzyko błędów przy przepisywaniu, trudności z zarządzaniem magazynem produktów.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Automatyzacja</w:t>
            </w:r>
            <w:r w:rsidDel="00000000" w:rsidR="00000000" w:rsidRPr="00000000">
              <w:rPr>
                <w:rFonts w:ascii="Google Sans Text" w:cs="Google Sans Text" w:eastAsia="Google Sans Text" w:hAnsi="Google Sans Text"/>
                <w:color w:val="1f1f1f"/>
                <w:shd w:fill="auto" w:val="clear"/>
                <w:rtl w:val="0"/>
              </w:rPr>
              <w:t xml:space="preserve"> przepływu danych z ePRO do EDC. Powiadomienia o oknach wizyt generowane przez system. Łatwe zamawianie produktów przez IRT.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Sponsor (Firma Kosmetyczna/Pharma)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Finansowanie i nadzór nad badaniem.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wglądu w postępy rekrutacji w czasie rzeczywistym ("Black Box"), opóźnienia w dostępie do danych o bezpieczeństwie.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Real-time Analytics:</w:t>
            </w:r>
            <w:r w:rsidDel="00000000" w:rsidR="00000000" w:rsidRPr="00000000">
              <w:rPr>
                <w:rFonts w:ascii="Google Sans Text" w:cs="Google Sans Text" w:eastAsia="Google Sans Text" w:hAnsi="Google Sans Text"/>
                <w:color w:val="1f1f1f"/>
                <w:shd w:fill="auto" w:val="clear"/>
                <w:rtl w:val="0"/>
              </w:rPr>
              <w:t xml:space="preserve"> Dostęp do zagregowanych danych o rekrutacji i AE w czasie rzeczywistym. Skrócenie czasu do wprowadzenia produktu na rynek.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Uczestnik Badania (Pacjent)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Testowanie produktu, dostarczanie danych subiektywnych.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Konieczność częstych wizyt, uciążliwe papierowe dzienniczki, niezrozumiały język medyczny w formularzach zgody.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eConsent:</w:t>
            </w:r>
            <w:r w:rsidDel="00000000" w:rsidR="00000000" w:rsidRPr="00000000">
              <w:rPr>
                <w:rFonts w:ascii="Google Sans Text" w:cs="Google Sans Text" w:eastAsia="Google Sans Text" w:hAnsi="Google Sans Text"/>
                <w:color w:val="1f1f1f"/>
                <w:shd w:fill="auto" w:val="clear"/>
                <w:rtl w:val="0"/>
              </w:rPr>
              <w:t xml:space="preserve"> Multimedialna, zrozumiała forma zgody. </w:t>
            </w:r>
            <w:r w:rsidDel="00000000" w:rsidR="00000000" w:rsidRPr="00000000">
              <w:rPr>
                <w:rFonts w:ascii="Google Sans Text" w:cs="Google Sans Text" w:eastAsia="Google Sans Text" w:hAnsi="Google Sans Text"/>
                <w:b w:val="1"/>
                <w:bCs w:val="1"/>
                <w:color w:val="1f1f1f"/>
                <w:shd w:fill="auto" w:val="clear"/>
                <w:rtl w:val="0"/>
              </w:rPr>
              <w:t xml:space="preserve">ePRO/BYOD:</w:t>
            </w:r>
            <w:r w:rsidDel="00000000" w:rsidR="00000000" w:rsidRPr="00000000">
              <w:rPr>
                <w:rFonts w:ascii="Google Sans Text" w:cs="Google Sans Text" w:eastAsia="Google Sans Text" w:hAnsi="Google Sans Text"/>
                <w:color w:val="1f1f1f"/>
                <w:shd w:fill="auto" w:val="clear"/>
                <w:rtl w:val="0"/>
              </w:rPr>
              <w:t xml:space="preserve"> Intuicyjna aplikacja na własnym telefonie. Ograniczenie wizyt fizycznych (decentralizacja).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Monitor (CRA)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Weryfikacja jakości danych i zgodności z protokołem.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Konieczność częstych podróży do ośrodków, czasochłonna weryfikacja papierowych dokumentów (SDV).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Remote Monitoring:</w:t>
            </w:r>
            <w:r w:rsidDel="00000000" w:rsidR="00000000" w:rsidRPr="00000000">
              <w:rPr>
                <w:rFonts w:ascii="Google Sans Text" w:cs="Google Sans Text" w:eastAsia="Google Sans Text" w:hAnsi="Google Sans Text"/>
                <w:color w:val="1f1f1f"/>
                <w:shd w:fill="auto" w:val="clear"/>
                <w:rtl w:val="0"/>
              </w:rPr>
              <w:t xml:space="preserve"> Możliwość zdalnego przeglądu dokumentacji (eConsent, eCRF) i ścieżki audytu. Zarządzanie ryzykiem z poziomu biura.</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Architektura Biznesowa (Business Architecture)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biznesowa definiuje sposób realizacji wartości dla organizacji poprzez zorchegrowane procesy. W modelu wykorzystano notację BPMN 2.0 do szczegółowego odwzorowania przepływów pracy, zgodnie z wymaganiami zadania i diagramami referencyjnymi (Diagram 2, 3, 4, 5).</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Usługi Biznesowe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Nadrzędną usługą biznesową jest </w:t>
      </w:r>
      <w:r w:rsidDel="00000000" w:rsidR="00000000" w:rsidRPr="00000000">
        <w:rPr>
          <w:rFonts w:ascii="Google Sans Text" w:cs="Google Sans Text" w:eastAsia="Google Sans Text" w:hAnsi="Google Sans Text"/>
          <w:b w:val="1"/>
          <w:bCs w:val="1"/>
          <w:color w:val="1f1f1f"/>
          <w:rtl w:val="0"/>
        </w:rPr>
        <w:t xml:space="preserve">"Przeprowadzenie badania klinicznego zgodnie z GCP"</w:t>
      </w:r>
      <w:r w:rsidDel="00000000" w:rsidR="00000000" w:rsidRPr="00000000">
        <w:rPr>
          <w:rFonts w:ascii="Google Sans Text" w:cs="Google Sans Text" w:eastAsia="Google Sans Text" w:hAnsi="Google Sans Text"/>
          <w:color w:val="1f1f1f"/>
          <w:rtl w:val="0"/>
        </w:rPr>
        <w:t xml:space="preserve">, która jest dekomponowana na usługi niższego rzędu:</w:t>
      </w:r>
    </w:p>
    <w:p w:rsidR="00000000" w:rsidDel="00000000" w:rsidP="00000000" w:rsidRDefault="00000000" w:rsidRPr="00000000" w14:paraId="0000005E">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Rekrutacja i Włączenie (Screening &amp; Enrollment):</w:t>
      </w:r>
      <w:r w:rsidDel="00000000" w:rsidR="00000000" w:rsidRPr="00000000">
        <w:rPr>
          <w:rFonts w:ascii="Google Sans Text" w:cs="Google Sans Text" w:eastAsia="Google Sans Text" w:hAnsi="Google Sans Text"/>
          <w:color w:val="1f1f1f"/>
          <w:rtl w:val="0"/>
        </w:rPr>
        <w:t xml:space="preserve"> Zapewnienie odpowiedniej liczby kwalifikujących się uczestników w założonym czasie.</w:t>
      </w:r>
    </w:p>
    <w:p w:rsidR="00000000" w:rsidDel="00000000" w:rsidP="00000000" w:rsidRDefault="00000000" w:rsidRPr="00000000" w14:paraId="0000005F">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Zarządzanie Bezpieczeństwem (Safety Management):</w:t>
      </w:r>
      <w:r w:rsidDel="00000000" w:rsidR="00000000" w:rsidRPr="00000000">
        <w:rPr>
          <w:rFonts w:ascii="Google Sans Text" w:cs="Google Sans Text" w:eastAsia="Google Sans Text" w:hAnsi="Google Sans Text"/>
          <w:color w:val="1f1f1f"/>
          <w:rtl w:val="0"/>
        </w:rPr>
        <w:t xml:space="preserve"> Wykrywanie i raportowanie wszelkich działań niepożądanych w celu ochrony uczestników i spełnienia wymogów prawnych.</w:t>
      </w:r>
    </w:p>
    <w:p w:rsidR="00000000" w:rsidDel="00000000" w:rsidP="00000000" w:rsidRDefault="00000000" w:rsidRPr="00000000" w14:paraId="00000060">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Zarządzanie Danymi (Data Management):</w:t>
      </w:r>
      <w:r w:rsidDel="00000000" w:rsidR="00000000" w:rsidRPr="00000000">
        <w:rPr>
          <w:rFonts w:ascii="Google Sans Text" w:cs="Google Sans Text" w:eastAsia="Google Sans Text" w:hAnsi="Google Sans Text"/>
          <w:color w:val="1f1f1f"/>
          <w:rtl w:val="0"/>
        </w:rPr>
        <w:t xml:space="preserve"> Gromadzenie, walidacja i przygotowanie danych do analizy statystycznej.</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Modelowanie Procesów BPMN</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Proces 1: "Screening &amp; Enrollment" (Rekrutacja i Włączenie)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Proces ten został zaprojektowany z myślą o maksymalnej konwersji kandydatów i eliminacji błędów administracyjnych. Przebieg procesu (zgodny z Rysunkiem 2 i 5) wygląda następująco:</w:t>
      </w:r>
    </w:p>
    <w:p w:rsidR="00000000" w:rsidDel="00000000" w:rsidP="00000000" w:rsidRDefault="00000000" w:rsidRPr="00000000" w14:paraId="00000064">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Zgłoszenie Kandydata (Pre-screening):</w:t>
      </w:r>
    </w:p>
    <w:p w:rsidR="00000000" w:rsidDel="00000000" w:rsidP="00000000" w:rsidRDefault="00000000" w:rsidRPr="00000000" w14:paraId="00000065">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Uczestnik.</w:t>
      </w:r>
    </w:p>
    <w:p w:rsidR="00000000" w:rsidDel="00000000" w:rsidP="00000000" w:rsidRDefault="00000000" w:rsidRPr="00000000" w14:paraId="00000066">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Kandydat wypełnia wstępną ankietę online zintegrowaną z systemem rekrutacyjnym. Ankieta weryfikuje podstawowe kryteria (wiek, płeć, ogólny stan zdrowia).</w:t>
      </w:r>
    </w:p>
    <w:p w:rsidR="00000000" w:rsidDel="00000000" w:rsidP="00000000" w:rsidRDefault="00000000" w:rsidRPr="00000000" w14:paraId="0000006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Portal Rekrutacyjny / eConsent Moduł Pre-screen.</w:t>
      </w:r>
    </w:p>
    <w:p w:rsidR="00000000" w:rsidDel="00000000" w:rsidP="00000000" w:rsidRDefault="00000000" w:rsidRPr="00000000" w14:paraId="0000006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Bramka XOR:</w:t>
      </w:r>
      <w:r w:rsidDel="00000000" w:rsidR="00000000" w:rsidRPr="00000000">
        <w:rPr>
          <w:rFonts w:ascii="Google Sans Text" w:cs="Google Sans Text" w:eastAsia="Google Sans Text" w:hAnsi="Google Sans Text"/>
          <w:color w:val="1f1f1f"/>
          <w:rtl w:val="0"/>
        </w:rPr>
        <w:t xml:space="preserve"> Jeśli kryteria niespełnione -&gt; Automatyczne odrzucenie (Screen Failure). Jeśli spełnione -&gt; Zaproszenie do etapu zgody.</w:t>
      </w:r>
    </w:p>
    <w:p w:rsidR="00000000" w:rsidDel="00000000" w:rsidP="00000000" w:rsidRDefault="00000000" w:rsidRPr="00000000" w14:paraId="00000069">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eConsent (Podpisanie Zgody):</w:t>
      </w:r>
    </w:p>
    <w:p w:rsidR="00000000" w:rsidDel="00000000" w:rsidP="00000000" w:rsidRDefault="00000000" w:rsidRPr="00000000" w14:paraId="0000006A">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Uczestnik (w domu lub w ośrodku).</w:t>
      </w:r>
    </w:p>
    <w:p w:rsidR="00000000" w:rsidDel="00000000" w:rsidP="00000000" w:rsidRDefault="00000000" w:rsidRPr="00000000" w14:paraId="0000006B">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Uczestnik zapoznaje się z interaktywnym formularzem informacji o badaniu (wideo, grafiki). System wymusza przejście przez wszystkie sekcje.</w:t>
      </w:r>
    </w:p>
    <w:p w:rsidR="00000000" w:rsidDel="00000000" w:rsidP="00000000" w:rsidRDefault="00000000" w:rsidRPr="00000000" w14:paraId="0000006C">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Podproces:</w:t>
      </w:r>
      <w:r w:rsidDel="00000000" w:rsidR="00000000" w:rsidRPr="00000000">
        <w:rPr>
          <w:rFonts w:ascii="Google Sans Text" w:cs="Google Sans Text" w:eastAsia="Google Sans Text" w:hAnsi="Google Sans Text"/>
          <w:color w:val="1f1f1f"/>
          <w:rtl w:val="0"/>
        </w:rPr>
        <w:t xml:space="preserve"> "Weryfikacja Wiedzy" (Knowledge Check) – krótki quiz sprawdzający zrozumienie ryzyka i obowiązków.</w:t>
      </w:r>
    </w:p>
    <w:p w:rsidR="00000000" w:rsidDel="00000000" w:rsidP="00000000" w:rsidRDefault="00000000" w:rsidRPr="00000000" w14:paraId="0000006D">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Zdarzenie:</w:t>
      </w:r>
      <w:r w:rsidDel="00000000" w:rsidR="00000000" w:rsidRPr="00000000">
        <w:rPr>
          <w:rFonts w:ascii="Google Sans Text" w:cs="Google Sans Text" w:eastAsia="Google Sans Text" w:hAnsi="Google Sans Text"/>
          <w:color w:val="1f1f1f"/>
          <w:rtl w:val="0"/>
        </w:rPr>
        <w:t xml:space="preserve"> Złożenie podpisu elektronicznego (eSignature). System generuje bezpieczny dokument PDF z timestampem i sumą kontrolną, który jest automatycznie wysyłany do </w:t>
      </w:r>
      <w:r w:rsidDel="00000000" w:rsidR="00000000" w:rsidRPr="00000000">
        <w:rPr>
          <w:rFonts w:ascii="Google Sans Text" w:cs="Google Sans Text" w:eastAsia="Google Sans Text" w:hAnsi="Google Sans Text"/>
          <w:b w:val="1"/>
          <w:bCs w:val="1"/>
          <w:color w:val="1f1f1f"/>
          <w:rtl w:val="0"/>
        </w:rPr>
        <w:t xml:space="preserve">eTMF</w:t>
      </w:r>
      <w:r w:rsidDel="00000000" w:rsidR="00000000" w:rsidRPr="00000000">
        <w:rPr>
          <w:rFonts w:ascii="Google Sans Text" w:cs="Google Sans Text" w:eastAsia="Google Sans Text" w:hAnsi="Google Sans Text"/>
          <w:color w:val="1f1f1f"/>
          <w:rtl w:val="0"/>
        </w:rPr>
        <w:t xml:space="preserve"> (Sponsor) i na konto Uczestnika.</w:t>
      </w:r>
    </w:p>
    <w:p w:rsidR="00000000" w:rsidDel="00000000" w:rsidP="00000000" w:rsidRDefault="00000000" w:rsidRPr="00000000" w14:paraId="0000006E">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Zgodność:</w:t>
      </w:r>
      <w:r w:rsidDel="00000000" w:rsidR="00000000" w:rsidRPr="00000000">
        <w:rPr>
          <w:rFonts w:ascii="Google Sans Text" w:cs="Google Sans Text" w:eastAsia="Google Sans Text" w:hAnsi="Google Sans Text"/>
          <w:color w:val="1f1f1f"/>
          <w:rtl w:val="0"/>
        </w:rPr>
        <w:t xml:space="preserve"> Proces zgodny z wymogami FDA 21 CFR Part 11 (uwierzytelnienie tożsamości).</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F">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Wizyta Przesiewowa (Screening Visit):</w:t>
      </w:r>
    </w:p>
    <w:p w:rsidR="00000000" w:rsidDel="00000000" w:rsidP="00000000" w:rsidRDefault="00000000" w:rsidRPr="00000000" w14:paraId="0000007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Badacz (PI/Koordynator).</w:t>
      </w:r>
    </w:p>
    <w:p w:rsidR="00000000" w:rsidDel="00000000" w:rsidP="00000000" w:rsidRDefault="00000000" w:rsidRPr="00000000" w14:paraId="00000071">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Fizyczna weryfikacja kryteriów dermatologicznych w ośrodku (np. ocena skóry w lampie Wooda, wywiad medyczny).</w:t>
      </w:r>
    </w:p>
    <w:p w:rsidR="00000000" w:rsidDel="00000000" w:rsidP="00000000" w:rsidRDefault="00000000" w:rsidRPr="00000000" w14:paraId="00000072">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eCRF/EDC</w:t>
      </w:r>
      <w:r w:rsidDel="00000000" w:rsidR="00000000" w:rsidRPr="00000000">
        <w:rPr>
          <w:rFonts w:ascii="Google Sans Text" w:cs="Google Sans Text" w:eastAsia="Google Sans Text" w:hAnsi="Google Sans Text"/>
          <w:color w:val="1f1f1f"/>
          <w:rtl w:val="0"/>
        </w:rPr>
        <w:t xml:space="preserve">. Badacz wprowadza dane kliniczne.</w:t>
      </w:r>
    </w:p>
    <w:p w:rsidR="00000000" w:rsidDel="00000000" w:rsidP="00000000" w:rsidRDefault="00000000" w:rsidRPr="00000000" w14:paraId="00000073">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Bramka XOR:</w:t>
      </w:r>
      <w:r w:rsidDel="00000000" w:rsidR="00000000" w:rsidRPr="00000000">
        <w:rPr>
          <w:rFonts w:ascii="Google Sans Text" w:cs="Google Sans Text" w:eastAsia="Google Sans Text" w:hAnsi="Google Sans Text"/>
          <w:color w:val="1f1f1f"/>
          <w:rtl w:val="0"/>
        </w:rPr>
        <w:t xml:space="preserve"> "Pełna Kwalifikacja?". Jeśli negatywna -&gt; Screen Failure w EDC. Jeśli pozytywna -&gt; Przejście do Wizyty Baseline.</w:t>
      </w:r>
    </w:p>
    <w:p w:rsidR="00000000" w:rsidDel="00000000" w:rsidP="00000000" w:rsidRDefault="00000000" w:rsidRPr="00000000" w14:paraId="00000074">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Wizyta Baseline i Randomizacja:</w:t>
      </w:r>
    </w:p>
    <w:p w:rsidR="00000000" w:rsidDel="00000000" w:rsidP="00000000" w:rsidRDefault="00000000" w:rsidRPr="00000000" w14:paraId="00000075">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Jeśli pacjent kwalifikuje się, następuje wizyta "zerowa".</w:t>
      </w:r>
    </w:p>
    <w:p w:rsidR="00000000" w:rsidDel="00000000" w:rsidP="00000000" w:rsidRDefault="00000000" w:rsidRPr="00000000" w14:paraId="00000076">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Interakcja Systemowa:</w:t>
      </w:r>
      <w:r w:rsidDel="00000000" w:rsidR="00000000" w:rsidRPr="00000000">
        <w:rPr>
          <w:rFonts w:ascii="Google Sans Text" w:cs="Google Sans Text" w:eastAsia="Google Sans Text" w:hAnsi="Google Sans Text"/>
          <w:color w:val="1f1f1f"/>
          <w:rtl w:val="0"/>
        </w:rPr>
        <w:t xml:space="preserve"> Badacz w EDC klika przycisk "Randomizuj". EDC wywołuje usługę </w:t>
      </w:r>
      <w:r w:rsidDel="00000000" w:rsidR="00000000" w:rsidRPr="00000000">
        <w:rPr>
          <w:rFonts w:ascii="Google Sans Text" w:cs="Google Sans Text" w:eastAsia="Google Sans Text" w:hAnsi="Google Sans Text"/>
          <w:b w:val="1"/>
          <w:bCs w:val="1"/>
          <w:color w:val="1f1f1f"/>
          <w:rtl w:val="0"/>
        </w:rPr>
        <w:t xml:space="preserve">IRT</w:t>
      </w:r>
      <w:r w:rsidDel="00000000" w:rsidR="00000000" w:rsidRPr="00000000">
        <w:rPr>
          <w:rFonts w:ascii="Google Sans Text" w:cs="Google Sans Text" w:eastAsia="Google Sans Text" w:hAnsi="Google Sans Text"/>
          <w:color w:val="1f1f1f"/>
          <w:rtl w:val="0"/>
        </w:rPr>
        <w:t xml:space="preserve"> (Integracja API).</w:t>
      </w:r>
    </w:p>
    <w:p w:rsidR="00000000" w:rsidDel="00000000" w:rsidP="00000000" w:rsidRDefault="00000000" w:rsidRPr="00000000" w14:paraId="00000077">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System IRT:</w:t>
      </w:r>
      <w:r w:rsidDel="00000000" w:rsidR="00000000" w:rsidRPr="00000000">
        <w:rPr>
          <w:rFonts w:ascii="Google Sans Text" w:cs="Google Sans Text" w:eastAsia="Google Sans Text" w:hAnsi="Google Sans Text"/>
          <w:color w:val="1f1f1f"/>
          <w:rtl w:val="0"/>
        </w:rPr>
        <w:t xml:space="preserve"> Algorytm randomizacyjny (np. blokowy zstępujący) przydziela pacjenta do grupy (Produkt Badany A vs. Placebo) i przypisuje numer zestawu (Kit ID) dostępnego w magazynie ośrodka.</w:t>
      </w:r>
    </w:p>
    <w:p w:rsidR="00000000" w:rsidDel="00000000" w:rsidP="00000000" w:rsidRDefault="00000000" w:rsidRPr="00000000" w14:paraId="00000078">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Wynik:</w:t>
      </w:r>
      <w:r w:rsidDel="00000000" w:rsidR="00000000" w:rsidRPr="00000000">
        <w:rPr>
          <w:rFonts w:ascii="Google Sans Text" w:cs="Google Sans Text" w:eastAsia="Google Sans Text" w:hAnsi="Google Sans Text"/>
          <w:color w:val="1f1f1f"/>
          <w:rtl w:val="0"/>
        </w:rPr>
        <w:t xml:space="preserve"> Informacja o numerze zestawu wraca do EDC i jest wyświetlana Badaczowi.</w:t>
      </w:r>
    </w:p>
    <w:p w:rsidR="00000000" w:rsidDel="00000000" w:rsidP="00000000" w:rsidRDefault="00000000" w:rsidRPr="00000000" w14:paraId="00000079">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Wydanie Leku/Zestawu (Dispensation):</w:t>
      </w:r>
    </w:p>
    <w:p w:rsidR="00000000" w:rsidDel="00000000" w:rsidP="00000000" w:rsidRDefault="00000000" w:rsidRPr="00000000" w14:paraId="0000007A">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Koordynator/Farmaceuta.</w:t>
      </w:r>
    </w:p>
    <w:p w:rsidR="00000000" w:rsidDel="00000000" w:rsidP="00000000" w:rsidRDefault="00000000" w:rsidRPr="00000000" w14:paraId="0000007B">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Fizyczne wydanie przypisanego zestawu kosmetyków.</w:t>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Zdarzenie Końcowe:</w:t>
      </w:r>
      <w:r w:rsidDel="00000000" w:rsidR="00000000" w:rsidRPr="00000000">
        <w:rPr>
          <w:rFonts w:ascii="Google Sans Text" w:cs="Google Sans Text" w:eastAsia="Google Sans Text" w:hAnsi="Google Sans Text"/>
          <w:color w:val="1f1f1f"/>
          <w:rtl w:val="0"/>
        </w:rPr>
        <w:t xml:space="preserve"> Pacjent zrekrutowany (Subject Enrolled).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Kluczowe usprawnienie:</w:t>
      </w:r>
      <w:r w:rsidDel="00000000" w:rsidR="00000000" w:rsidRPr="00000000">
        <w:rPr>
          <w:rFonts w:ascii="Google Sans Text" w:cs="Google Sans Text" w:eastAsia="Google Sans Text" w:hAnsi="Google Sans Text"/>
          <w:color w:val="1f1f1f"/>
          <w:rtl w:val="0"/>
        </w:rPr>
        <w:t xml:space="preserve"> Eliminacja "okienka czasowego" pomiędzy podpisaniem zgody a wprowadzeniem jej do systemu. W modelu cyfrowym zgoda jest widoczna natychmiast, co odblokowuje możliwość randomizacji w czasie rzeczywistym.</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Proces 2: "AE/SAE Reporting" (Raportowanie Zdarzeń Niepożądanych)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Proces ten (zgodny z Rysunkiem 3 i 4) jest krytyczny dla bezpieczeństwa pacjenta i zgodności z regulacjami Cosmetovigilance. W badaniach kosmetycznych, oprócz standardowych AE, kluczowe jest monitorowanie </w:t>
      </w:r>
      <w:r w:rsidDel="00000000" w:rsidR="00000000" w:rsidRPr="00000000">
        <w:rPr>
          <w:rFonts w:ascii="Google Sans Text" w:cs="Google Sans Text" w:eastAsia="Google Sans Text" w:hAnsi="Google Sans Text"/>
          <w:b w:val="1"/>
          <w:bCs w:val="1"/>
          <w:color w:val="1f1f1f"/>
          <w:rtl w:val="0"/>
        </w:rPr>
        <w:t xml:space="preserve">Poważnych Działań Niepożądanych (SUE - Serious Undesirable Effects)</w:t>
      </w:r>
      <w:r w:rsidDel="00000000" w:rsidR="00000000" w:rsidRPr="00000000">
        <w:rPr>
          <w:rFonts w:ascii="Google Sans Text" w:cs="Google Sans Text" w:eastAsia="Google Sans Text" w:hAnsi="Google Sans Text"/>
          <w:color w:val="1f1f1f"/>
          <w:rtl w:val="0"/>
        </w:rPr>
        <w:t xml:space="preserve">, które są odpowiednikiem SAE w farmacji, ale mają specyficzną definicję prawną w UE (Rozporządzenie 1223/2009).</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80">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Wystąpienie Objawów i Zgłoszenie:</w:t>
      </w:r>
    </w:p>
    <w:p w:rsidR="00000000" w:rsidDel="00000000" w:rsidP="00000000" w:rsidRDefault="00000000" w:rsidRPr="00000000" w14:paraId="00000081">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Ścieżka A (Zdalna):</w:t>
      </w:r>
      <w:r w:rsidDel="00000000" w:rsidR="00000000" w:rsidRPr="00000000">
        <w:rPr>
          <w:rFonts w:ascii="Google Sans Text" w:cs="Google Sans Text" w:eastAsia="Google Sans Text" w:hAnsi="Google Sans Text"/>
          <w:color w:val="1f1f1f"/>
          <w:rtl w:val="0"/>
        </w:rPr>
        <w:t xml:space="preserve"> Uczestnik w domu odczuwa dyskomfort (np. silne pieczenie). Uruchamia aplikację </w:t>
      </w:r>
      <w:r w:rsidDel="00000000" w:rsidR="00000000" w:rsidRPr="00000000">
        <w:rPr>
          <w:rFonts w:ascii="Google Sans Text" w:cs="Google Sans Text" w:eastAsia="Google Sans Text" w:hAnsi="Google Sans Text"/>
          <w:b w:val="1"/>
          <w:bCs w:val="1"/>
          <w:color w:val="1f1f1f"/>
          <w:rtl w:val="0"/>
        </w:rPr>
        <w:t xml:space="preserve">ePRO</w:t>
      </w:r>
      <w:r w:rsidDel="00000000" w:rsidR="00000000" w:rsidRPr="00000000">
        <w:rPr>
          <w:rFonts w:ascii="Google Sans Text" w:cs="Google Sans Text" w:eastAsia="Google Sans Text" w:hAnsi="Google Sans Text"/>
          <w:color w:val="1f1f1f"/>
          <w:rtl w:val="0"/>
        </w:rPr>
        <w:t xml:space="preserve">, wybiera typ objawu z listy i ocenia nasilenie.</w:t>
      </w:r>
    </w:p>
    <w:p w:rsidR="00000000" w:rsidDel="00000000" w:rsidP="00000000" w:rsidRDefault="00000000" w:rsidRPr="00000000" w14:paraId="00000082">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ePRO przesyła dane do EDC w trybie natychmiastowym (lub po odzyskaniu połączenia). EDC generuje alert e-mail/SMS do Badacza ("New AE reported").</w:t>
      </w:r>
    </w:p>
    <w:p w:rsidR="00000000" w:rsidDel="00000000" w:rsidP="00000000" w:rsidRDefault="00000000" w:rsidRPr="00000000" w14:paraId="00000083">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Ścieżka B (Stacjonarna):</w:t>
      </w:r>
      <w:r w:rsidDel="00000000" w:rsidR="00000000" w:rsidRPr="00000000">
        <w:rPr>
          <w:rFonts w:ascii="Google Sans Text" w:cs="Google Sans Text" w:eastAsia="Google Sans Text" w:hAnsi="Google Sans Text"/>
          <w:color w:val="1f1f1f"/>
          <w:rtl w:val="0"/>
        </w:rPr>
        <w:t xml:space="preserve"> Uczestnik zgłasza objaw podczas wizyty. Badacz wprowadza dane bezpośrednio do eCRF.</w:t>
      </w:r>
    </w:p>
    <w:p w:rsidR="00000000" w:rsidDel="00000000" w:rsidP="00000000" w:rsidRDefault="00000000" w:rsidRPr="00000000" w14:paraId="00000084">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Triaging i Ocena Medyczna (Investigator Assessment):</w:t>
      </w:r>
    </w:p>
    <w:p w:rsidR="00000000" w:rsidDel="00000000" w:rsidP="00000000" w:rsidRDefault="00000000" w:rsidRPr="00000000" w14:paraId="0000008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Badacz (PI).</w:t>
      </w:r>
    </w:p>
    <w:p w:rsidR="00000000" w:rsidDel="00000000" w:rsidP="00000000" w:rsidRDefault="00000000" w:rsidRPr="00000000" w14:paraId="0000008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Badacz analizuje zgłoszenie. Musi ocenić trzy parametry:</w:t>
      </w:r>
    </w:p>
    <w:p w:rsidR="00000000" w:rsidDel="00000000" w:rsidP="00000000" w:rsidRDefault="00000000" w:rsidRPr="00000000" w14:paraId="00000087">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305" w:hanging="360"/>
      </w:pPr>
      <w:r w:rsidDel="00000000" w:rsidR="00000000" w:rsidRPr="00000000">
        <w:rPr>
          <w:rFonts w:ascii="Google Sans Text" w:cs="Google Sans Text" w:eastAsia="Google Sans Text" w:hAnsi="Google Sans Text"/>
          <w:b w:val="1"/>
          <w:bCs w:val="1"/>
          <w:color w:val="1f1f1f"/>
          <w:rtl w:val="0"/>
        </w:rPr>
        <w:t xml:space="preserve">Nasilenie (Severity):</w:t>
      </w:r>
      <w:r w:rsidDel="00000000" w:rsidR="00000000" w:rsidRPr="00000000">
        <w:rPr>
          <w:rFonts w:ascii="Google Sans Text" w:cs="Google Sans Text" w:eastAsia="Google Sans Text" w:hAnsi="Google Sans Text"/>
          <w:color w:val="1f1f1f"/>
          <w:rtl w:val="0"/>
        </w:rPr>
        <w:t xml:space="preserve"> Łagodne, Umiarkowane, Ciężkie.</w:t>
      </w:r>
    </w:p>
    <w:p w:rsidR="00000000" w:rsidDel="00000000" w:rsidP="00000000" w:rsidRDefault="00000000" w:rsidRPr="00000000" w14:paraId="00000088">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b w:val="1"/>
          <w:bCs w:val="1"/>
          <w:color w:val="1f1f1f"/>
          <w:rtl w:val="0"/>
        </w:rPr>
        <w:t xml:space="preserve">Związek z produktem (Causality):</w:t>
      </w:r>
      <w:r w:rsidDel="00000000" w:rsidR="00000000" w:rsidRPr="00000000">
        <w:rPr>
          <w:rFonts w:ascii="Google Sans Text" w:cs="Google Sans Text" w:eastAsia="Google Sans Text" w:hAnsi="Google Sans Text"/>
          <w:color w:val="1f1f1f"/>
          <w:rtl w:val="0"/>
        </w:rPr>
        <w:t xml:space="preserve"> Związane, Prawdopodobne, Możliwe, Mało prawdopodobne, Niezwiązane.</w:t>
      </w:r>
    </w:p>
    <w:p w:rsidR="00000000" w:rsidDel="00000000" w:rsidP="00000000" w:rsidRDefault="00000000" w:rsidRPr="00000000" w14:paraId="00000089">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b w:val="1"/>
          <w:bCs w:val="1"/>
          <w:color w:val="1f1f1f"/>
          <w:rtl w:val="0"/>
        </w:rPr>
        <w:t xml:space="preserve">Poważność (Seriousness):</w:t>
      </w:r>
      <w:r w:rsidDel="00000000" w:rsidR="00000000" w:rsidRPr="00000000">
        <w:rPr>
          <w:rFonts w:ascii="Google Sans Text" w:cs="Google Sans Text" w:eastAsia="Google Sans Text" w:hAnsi="Google Sans Text"/>
          <w:color w:val="1f1f1f"/>
          <w:rtl w:val="0"/>
        </w:rPr>
        <w:t xml:space="preserve"> Czy zdarzenie spełnia kryteria SAE/SUE? (Śmierć, zagrożenie życia, hospitalizacja, trwała niepełnosprawność, wady wrodzone, konieczność interwencji medycznej).</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A">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Bramka XOR: Czy to jest SAE/SUE?</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Ścieżka "NIE" (Łagodne AE):</w:t>
      </w:r>
      <w:r w:rsidDel="00000000" w:rsidR="00000000" w:rsidRPr="00000000">
        <w:rPr>
          <w:rFonts w:ascii="Google Sans Text" w:cs="Google Sans Text" w:eastAsia="Google Sans Text" w:hAnsi="Google Sans Text"/>
          <w:color w:val="1f1f1f"/>
          <w:rtl w:val="0"/>
        </w:rPr>
        <w:t xml:space="preserve"> Zdarzenie jest rejestrowane w eCRF. Proces kończy się na monitorowaniu do ustąpienia objawów. Dane trafiają do raportów okresowych.</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Ścieżka "TAK" (Poważne - SAE/SUE):</w:t>
      </w:r>
      <w:r w:rsidDel="00000000" w:rsidR="00000000" w:rsidRPr="00000000">
        <w:rPr>
          <w:rFonts w:ascii="Google Sans Text" w:cs="Google Sans Text" w:eastAsia="Google Sans Text" w:hAnsi="Google Sans Text"/>
          <w:color w:val="1f1f1f"/>
          <w:rtl w:val="0"/>
        </w:rPr>
        <w:t xml:space="preserve"> Uruchomienie procedury natychmiastowej notyfikacji.</w:t>
      </w:r>
    </w:p>
    <w:p w:rsidR="00000000" w:rsidDel="00000000" w:rsidP="00000000" w:rsidRDefault="00000000" w:rsidRPr="00000000" w14:paraId="0000008D">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Notyfikacja Sponsora (Messaging System):</w:t>
      </w:r>
    </w:p>
    <w:p w:rsidR="00000000" w:rsidDel="00000000" w:rsidP="00000000" w:rsidRDefault="00000000" w:rsidRPr="00000000" w14:paraId="0000008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Automatyzacja:</w:t>
      </w:r>
      <w:r w:rsidDel="00000000" w:rsidR="00000000" w:rsidRPr="00000000">
        <w:rPr>
          <w:rFonts w:ascii="Google Sans Text" w:cs="Google Sans Text" w:eastAsia="Google Sans Text" w:hAnsi="Google Sans Text"/>
          <w:color w:val="1f1f1f"/>
          <w:rtl w:val="0"/>
        </w:rPr>
        <w:t xml:space="preserve"> System EDC, po zaznaczeniu flagi "Serious = YES", automatycznie wysyła powiadomienie (Email/System Alert) do Zespołu ds. Bezpieczeństwa (Safety Team) Sponsora oraz Monitora.</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Czas:</w:t>
      </w:r>
      <w:r w:rsidDel="00000000" w:rsidR="00000000" w:rsidRPr="00000000">
        <w:rPr>
          <w:rFonts w:ascii="Google Sans Text" w:cs="Google Sans Text" w:eastAsia="Google Sans Text" w:hAnsi="Google Sans Text"/>
          <w:color w:val="1f1f1f"/>
          <w:rtl w:val="0"/>
        </w:rPr>
        <w:t xml:space="preserve"> Zgodnie z GCP, Badacz musi zgłosić SAE do Sponsora w ciągu </w:t>
      </w:r>
      <w:r w:rsidDel="00000000" w:rsidR="00000000" w:rsidRPr="00000000">
        <w:rPr>
          <w:rFonts w:ascii="Google Sans Text" w:cs="Google Sans Text" w:eastAsia="Google Sans Text" w:hAnsi="Google Sans Text"/>
          <w:b w:val="1"/>
          <w:bCs w:val="1"/>
          <w:color w:val="1f1f1f"/>
          <w:rtl w:val="0"/>
        </w:rPr>
        <w:t xml:space="preserve">24 godzin</w:t>
      </w:r>
      <w:r w:rsidDel="00000000" w:rsidR="00000000" w:rsidRPr="00000000">
        <w:rPr>
          <w:rFonts w:ascii="Google Sans Text" w:cs="Google Sans Text" w:eastAsia="Google Sans Text" w:hAnsi="Google Sans Text"/>
          <w:color w:val="1f1f1f"/>
          <w:rtl w:val="0"/>
        </w:rPr>
        <w:t xml:space="preserve"> od powzięcia informacji.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0">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Raportowanie do Władz (Regulatory Reporting):</w:t>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Aktor:</w:t>
      </w:r>
      <w:r w:rsidDel="00000000" w:rsidR="00000000" w:rsidRPr="00000000">
        <w:rPr>
          <w:rFonts w:ascii="Google Sans Text" w:cs="Google Sans Text" w:eastAsia="Google Sans Text" w:hAnsi="Google Sans Text"/>
          <w:color w:val="1f1f1f"/>
          <w:rtl w:val="0"/>
        </w:rPr>
        <w:t xml:space="preserve"> Sponsor (Safety Team).</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Sponsor weryfikuje zgłoszenie. W przypadku SUE (Serious Undesirable Effect) w UE, Sponsor ma obowiązek zgłosić przypadek do właściwego organu kompetentnego (National Competent Authority) w ciągu </w:t>
      </w:r>
      <w:r w:rsidDel="00000000" w:rsidR="00000000" w:rsidRPr="00000000">
        <w:rPr>
          <w:rFonts w:ascii="Google Sans Text" w:cs="Google Sans Text" w:eastAsia="Google Sans Text" w:hAnsi="Google Sans Text"/>
          <w:b w:val="1"/>
          <w:bCs w:val="1"/>
          <w:color w:val="1f1f1f"/>
          <w:rtl w:val="0"/>
        </w:rPr>
        <w:t xml:space="preserve">20 dni kalendarzowych</w:t>
      </w:r>
      <w:r w:rsidDel="00000000" w:rsidR="00000000" w:rsidRPr="00000000">
        <w:rPr>
          <w:rFonts w:ascii="Google Sans Text" w:cs="Google Sans Text" w:eastAsia="Google Sans Text" w:hAnsi="Google Sans Text"/>
          <w:color w:val="1f1f1f"/>
          <w:rtl w:val="0"/>
        </w:rPr>
        <w:t xml:space="preserve"> (formularz SUE Form A).</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Dane są eksportowane z bazy bezpieczeństwa (np. Argus) do formatu wymaganego przez urząd (np. E2B R3 dla leków, specyficzne formularze PDF dla kosmetyków).</w:t>
      </w:r>
    </w:p>
    <w:p w:rsidR="00000000" w:rsidDel="00000000" w:rsidP="00000000" w:rsidRDefault="00000000" w:rsidRPr="00000000" w14:paraId="00000094">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Zamknięcie Zdarzenia (Outcome):</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Zdarzenie jest monitorowane aż do ustąpienia (Recovered/Resolved) lub stabilizacji (Resolved with sequelae). Badacz zamyka wpis w eCRF podpisem elektronicznym.</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Architektura Aplikacji (Application Architecture)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Architektura aplikacji została zaprojektowana jako zintegrowany ekosystem, w którym dane przepływają płynnie między modułami, eliminując silosy informacyjne. Kluczowym standardem integracyjnym jest tutaj </w:t>
      </w:r>
      <w:r w:rsidDel="00000000" w:rsidR="00000000" w:rsidRPr="00000000">
        <w:rPr>
          <w:rFonts w:ascii="Google Sans Text" w:cs="Google Sans Text" w:eastAsia="Google Sans Text" w:hAnsi="Google Sans Text"/>
          <w:b w:val="1"/>
          <w:bCs w:val="1"/>
          <w:color w:val="1f1f1f"/>
          <w:rtl w:val="0"/>
        </w:rPr>
        <w:t xml:space="preserve">CDISC ODM</w:t>
      </w:r>
      <w:r w:rsidDel="00000000" w:rsidR="00000000" w:rsidRPr="00000000">
        <w:rPr>
          <w:rFonts w:ascii="Google Sans Text" w:cs="Google Sans Text" w:eastAsia="Google Sans Text" w:hAnsi="Google Sans Text"/>
          <w:color w:val="1f1f1f"/>
          <w:rtl w:val="0"/>
        </w:rPr>
        <w:t xml:space="preserve"> (Operational Data Model) dla wymiany danych klinicznych oraz interfejsy </w:t>
      </w:r>
      <w:r w:rsidDel="00000000" w:rsidR="00000000" w:rsidRPr="00000000">
        <w:rPr>
          <w:rFonts w:ascii="Google Sans Text" w:cs="Google Sans Text" w:eastAsia="Google Sans Text" w:hAnsi="Google Sans Text"/>
          <w:b w:val="1"/>
          <w:bCs w:val="1"/>
          <w:color w:val="1f1f1f"/>
          <w:rtl w:val="0"/>
        </w:rPr>
        <w:t xml:space="preserve">REST API</w:t>
      </w:r>
      <w:r w:rsidDel="00000000" w:rsidR="00000000" w:rsidRPr="00000000">
        <w:rPr>
          <w:rFonts w:ascii="Google Sans Text" w:cs="Google Sans Text" w:eastAsia="Google Sans Text" w:hAnsi="Google Sans Text"/>
          <w:color w:val="1f1f1f"/>
          <w:rtl w:val="0"/>
        </w:rPr>
        <w:t xml:space="preserve"> dla komunikacji w czasie rzeczywistym.</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Komponenty Aplikacyjne i Usługi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Poniższa lista opisuje kluczowe systemy (zgodnie z Rysunkiem 1 - Warstwa Aplikacji) i ich role: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eCRF / EDC (Electronic Data Capture):</w:t>
      </w:r>
    </w:p>
    <w:p w:rsidR="00000000" w:rsidDel="00000000" w:rsidP="00000000" w:rsidRDefault="00000000" w:rsidRPr="00000000" w14:paraId="0000009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Centralny hub danych klinicznych (Single Source of Truth dla danych badania).</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Usługi:</w:t>
      </w:r>
    </w:p>
    <w:p w:rsidR="00000000" w:rsidDel="00000000" w:rsidP="00000000" w:rsidRDefault="00000000" w:rsidRPr="00000000" w14:paraId="0000009D">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Zbieranie danych (Data Collection):</w:t>
      </w:r>
      <w:r w:rsidDel="00000000" w:rsidR="00000000" w:rsidRPr="00000000">
        <w:rPr>
          <w:rFonts w:ascii="Google Sans Text" w:cs="Google Sans Text" w:eastAsia="Google Sans Text" w:hAnsi="Google Sans Text"/>
          <w:color w:val="1f1f1f"/>
          <w:rtl w:val="0"/>
        </w:rPr>
        <w:t xml:space="preserve"> Formularze elektroniczne odwzorowujące protokół badania.</w:t>
      </w:r>
    </w:p>
    <w:p w:rsidR="00000000" w:rsidDel="00000000" w:rsidP="00000000" w:rsidRDefault="00000000" w:rsidRPr="00000000" w14:paraId="0000009E">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Walidacja (Edit Checks):</w:t>
      </w:r>
      <w:r w:rsidDel="00000000" w:rsidR="00000000" w:rsidRPr="00000000">
        <w:rPr>
          <w:rFonts w:ascii="Google Sans Text" w:cs="Google Sans Text" w:eastAsia="Google Sans Text" w:hAnsi="Google Sans Text"/>
          <w:color w:val="1f1f1f"/>
          <w:rtl w:val="0"/>
        </w:rPr>
        <w:t xml:space="preserve"> Automatyczne sprawdzanie poprawności danych (np. czy data urodzenia nie jest z przyszłości, czy ciśnienie krwi mieści się w granicach fizjologicznych) w momencie wprowadzania.</w:t>
      </w:r>
    </w:p>
    <w:p w:rsidR="00000000" w:rsidDel="00000000" w:rsidP="00000000" w:rsidRDefault="00000000" w:rsidRPr="00000000" w14:paraId="0000009F">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Zarządzanie zapytaniami (Query Management):</w:t>
      </w:r>
      <w:r w:rsidDel="00000000" w:rsidR="00000000" w:rsidRPr="00000000">
        <w:rPr>
          <w:rFonts w:ascii="Google Sans Text" w:cs="Google Sans Text" w:eastAsia="Google Sans Text" w:hAnsi="Google Sans Text"/>
          <w:color w:val="1f1f1f"/>
          <w:rtl w:val="0"/>
        </w:rPr>
        <w:t xml:space="preserve"> Mechanizm komunikacji między Monitorem a Badaczem w celu wyjaśnienia nieścisłości.</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Dostawcy:</w:t>
      </w:r>
      <w:r w:rsidDel="00000000" w:rsidR="00000000" w:rsidRPr="00000000">
        <w:rPr>
          <w:rFonts w:ascii="Google Sans Text" w:cs="Google Sans Text" w:eastAsia="Google Sans Text" w:hAnsi="Google Sans Text"/>
          <w:color w:val="1f1f1f"/>
          <w:rtl w:val="0"/>
        </w:rPr>
        <w:t xml:space="preserve"> Np. Medidata Rave, Veeva Vault, Castor EDC.</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IRT / RTSM (Interactive Response Technology):</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Zarządzanie logistyką badania i randomizacją.</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Usługi:</w:t>
      </w:r>
    </w:p>
    <w:p w:rsidR="00000000" w:rsidDel="00000000" w:rsidP="00000000" w:rsidRDefault="00000000" w:rsidRPr="00000000" w14:paraId="000000A4">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Randomizacja:</w:t>
      </w:r>
      <w:r w:rsidDel="00000000" w:rsidR="00000000" w:rsidRPr="00000000">
        <w:rPr>
          <w:rFonts w:ascii="Google Sans Text" w:cs="Google Sans Text" w:eastAsia="Google Sans Text" w:hAnsi="Google Sans Text"/>
          <w:color w:val="1f1f1f"/>
          <w:rtl w:val="0"/>
        </w:rPr>
        <w:t xml:space="preserve"> Algorytm przydzielający pacjenta do ramienia badania (Stratified Randomization – np. stratyfikacja według wieku &lt;35 i &gt;35 lat).</w:t>
      </w:r>
    </w:p>
    <w:p w:rsidR="00000000" w:rsidDel="00000000" w:rsidP="00000000" w:rsidRDefault="00000000" w:rsidRPr="00000000" w14:paraId="000000A5">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Zarządzanie Zapasami (Inventory Management):</w:t>
      </w:r>
      <w:r w:rsidDel="00000000" w:rsidR="00000000" w:rsidRPr="00000000">
        <w:rPr>
          <w:rFonts w:ascii="Google Sans Text" w:cs="Google Sans Text" w:eastAsia="Google Sans Text" w:hAnsi="Google Sans Text"/>
          <w:color w:val="1f1f1f"/>
          <w:rtl w:val="0"/>
        </w:rPr>
        <w:t xml:space="preserve"> Śledzenie zestawów kosmetyków w ośrodkach, automatyczne generowanie zamówień (Resupply trigger) gdy stan magazynowy spada poniżej minimum.</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Integracja:</w:t>
      </w:r>
      <w:r w:rsidDel="00000000" w:rsidR="00000000" w:rsidRPr="00000000">
        <w:rPr>
          <w:rFonts w:ascii="Google Sans Text" w:cs="Google Sans Text" w:eastAsia="Google Sans Text" w:hAnsi="Google Sans Text"/>
          <w:color w:val="1f1f1f"/>
          <w:rtl w:val="0"/>
        </w:rPr>
        <w:t xml:space="preserve"> Ścisła dwukierunkowa komunikacja z EDC (wymiana statusu pacjenta i numeru zestawu).</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eConsent (Elektroniczna Świadoma Zgoda):</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Platforma edukacyjna i legalizacyjna dla uczestnika.</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Usługi:</w:t>
      </w:r>
    </w:p>
    <w:p w:rsidR="00000000" w:rsidDel="00000000" w:rsidP="00000000" w:rsidRDefault="00000000" w:rsidRPr="00000000" w14:paraId="000000AA">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Prezentacja treści:</w:t>
      </w:r>
      <w:r w:rsidDel="00000000" w:rsidR="00000000" w:rsidRPr="00000000">
        <w:rPr>
          <w:rFonts w:ascii="Google Sans Text" w:cs="Google Sans Text" w:eastAsia="Google Sans Text" w:hAnsi="Google Sans Text"/>
          <w:color w:val="1f1f1f"/>
          <w:rtl w:val="0"/>
        </w:rPr>
        <w:t xml:space="preserve"> Moduły wideo, interaktywne słowniki trudnych pojęć.</w:t>
      </w:r>
    </w:p>
    <w:p w:rsidR="00000000" w:rsidDel="00000000" w:rsidP="00000000" w:rsidRDefault="00000000" w:rsidRPr="00000000" w14:paraId="000000AB">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Weryfikacja wiedzy:</w:t>
      </w:r>
      <w:r w:rsidDel="00000000" w:rsidR="00000000" w:rsidRPr="00000000">
        <w:rPr>
          <w:rFonts w:ascii="Google Sans Text" w:cs="Google Sans Text" w:eastAsia="Google Sans Text" w:hAnsi="Google Sans Text"/>
          <w:color w:val="1f1f1f"/>
          <w:rtl w:val="0"/>
        </w:rPr>
        <w:t xml:space="preserve"> Quizy sprawdzające zrozumienie ryzyka.</w:t>
      </w:r>
    </w:p>
    <w:p w:rsidR="00000000" w:rsidDel="00000000" w:rsidP="00000000" w:rsidRDefault="00000000" w:rsidRPr="00000000" w14:paraId="000000AC">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Podpis elektroniczny:</w:t>
      </w:r>
      <w:r w:rsidDel="00000000" w:rsidR="00000000" w:rsidRPr="00000000">
        <w:rPr>
          <w:rFonts w:ascii="Google Sans Text" w:cs="Google Sans Text" w:eastAsia="Google Sans Text" w:hAnsi="Google Sans Text"/>
          <w:color w:val="1f1f1f"/>
          <w:rtl w:val="0"/>
        </w:rPr>
        <w:t xml:space="preserve"> Zabezpieczony mechanizm podpisu (biometria/PIN) z pełną ścieżką audytu (Audit Trail).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ePRO (electronic Patient-Reported Outcomes):</w:t>
      </w:r>
    </w:p>
    <w:p w:rsidR="00000000" w:rsidDel="00000000" w:rsidP="00000000" w:rsidRDefault="00000000" w:rsidRPr="00000000" w14:paraId="000000A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Aplikacja mobilna dla pacjenta (dzienniczek).</w:t>
      </w:r>
    </w:p>
    <w:p w:rsidR="00000000" w:rsidDel="00000000" w:rsidP="00000000" w:rsidRDefault="00000000" w:rsidRPr="00000000" w14:paraId="000000A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Usługi:</w:t>
      </w:r>
    </w:p>
    <w:p w:rsidR="00000000" w:rsidDel="00000000" w:rsidP="00000000" w:rsidRDefault="00000000" w:rsidRPr="00000000" w14:paraId="000000B0">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eDiary:</w:t>
      </w:r>
      <w:r w:rsidDel="00000000" w:rsidR="00000000" w:rsidRPr="00000000">
        <w:rPr>
          <w:rFonts w:ascii="Google Sans Text" w:cs="Google Sans Text" w:eastAsia="Google Sans Text" w:hAnsi="Google Sans Text"/>
          <w:color w:val="1f1f1f"/>
          <w:rtl w:val="0"/>
        </w:rPr>
        <w:t xml:space="preserve"> Codzienne raportowanie użycia kosmetyku (Compliance check).</w:t>
      </w:r>
    </w:p>
    <w:p w:rsidR="00000000" w:rsidDel="00000000" w:rsidP="00000000" w:rsidRDefault="00000000" w:rsidRPr="00000000" w14:paraId="000000B1">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Ocena skóry:</w:t>
      </w:r>
      <w:r w:rsidDel="00000000" w:rsidR="00000000" w:rsidRPr="00000000">
        <w:rPr>
          <w:rFonts w:ascii="Google Sans Text" w:cs="Google Sans Text" w:eastAsia="Google Sans Text" w:hAnsi="Google Sans Text"/>
          <w:color w:val="1f1f1f"/>
          <w:rtl w:val="0"/>
        </w:rPr>
        <w:t xml:space="preserve"> Subiektywna ocena parametrów (świąd, pieczenie, nawilżenie) na skalach wizualnych (VAS).</w:t>
      </w:r>
    </w:p>
    <w:p w:rsidR="00000000" w:rsidDel="00000000" w:rsidP="00000000" w:rsidRDefault="00000000" w:rsidRPr="00000000" w14:paraId="000000B2">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Zgłaszanie AE:</w:t>
      </w:r>
      <w:r w:rsidDel="00000000" w:rsidR="00000000" w:rsidRPr="00000000">
        <w:rPr>
          <w:rFonts w:ascii="Google Sans Text" w:cs="Google Sans Text" w:eastAsia="Google Sans Text" w:hAnsi="Google Sans Text"/>
          <w:color w:val="1f1f1f"/>
          <w:rtl w:val="0"/>
        </w:rPr>
        <w:t xml:space="preserve"> Przycisk "Zgłoś problem" uruchamiający formularz AE.</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Model:</w:t>
      </w:r>
      <w:r w:rsidDel="00000000" w:rsidR="00000000" w:rsidRPr="00000000">
        <w:rPr>
          <w:rFonts w:ascii="Google Sans Text" w:cs="Google Sans Text" w:eastAsia="Google Sans Text" w:hAnsi="Google Sans Text"/>
          <w:color w:val="1f1f1f"/>
          <w:rtl w:val="0"/>
        </w:rPr>
        <w:t xml:space="preserve"> BYOD (Bring Your Own Device) – aplikacja instalowana na telefonie pacjenta, co zwiększa wygodę i retencję.</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CTMS (Clinical Trial Management System):</w:t>
      </w:r>
    </w:p>
    <w:p w:rsidR="00000000" w:rsidDel="00000000" w:rsidP="00000000" w:rsidRDefault="00000000" w:rsidRPr="00000000" w14:paraId="000000B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Zarządzanie operacyjne projektem.</w:t>
      </w:r>
    </w:p>
    <w:p w:rsidR="00000000" w:rsidDel="00000000" w:rsidP="00000000" w:rsidRDefault="00000000" w:rsidRPr="00000000" w14:paraId="000000B6">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Usługi:</w:t>
      </w:r>
      <w:r w:rsidDel="00000000" w:rsidR="00000000" w:rsidRPr="00000000">
        <w:rPr>
          <w:rFonts w:ascii="Google Sans Text" w:cs="Google Sans Text" w:eastAsia="Google Sans Text" w:hAnsi="Google Sans Text"/>
          <w:color w:val="1f1f1f"/>
          <w:rtl w:val="0"/>
        </w:rPr>
        <w:t xml:space="preserve"> Śledzenie kamieni milowych (Milestones), monitorowanie wizyt monitorów, rozliczenia finansowe z badaczami.</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Przepływy Danych i Integracja (Data Flow)</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Model integracji "Best-of-Breed" zakłada łączenie wyspecjalizowanych systemów za pomocą API. Poniżej przedstawiono kluczowe przepływy danych:</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Źródło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Dane Przesyłane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Mechanizm /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Wyzwalacz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Dane demograficzne (wiek, płeć), Status zgody (Signed Date/Time), Wersja dokumentu (ICF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REST API /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Podpisanie zgody przez pacjenta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Żądanie randomizacji (Subject ID, Stratification Factors), Status pacjenta (Screen Failure, Discontinued)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 Service (SOAP/REST)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Kliknięcie "Randomizuj" przez Badacza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Numer randomizacyjny, Przypisana grupa (Treatment Arm - jeśli open label), Numer zestawu (Kit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Pomyślna alokacja w IRT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Dane z dzienniczka (Diary Data), Zgłoszenia AE, Czas przyjęcia dawki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CDISC ODM (XML) /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Synchronizacja (np. nocna lub real-time)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CTMS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Liczba zrekrutowanych pacjentów, Daty wizyt (Visit Dates), Statusy SDV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Integracja natywna lub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Zapisanie wizyty w EDC</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Kluczowa innowacja:</w:t>
      </w:r>
      <w:r w:rsidDel="00000000" w:rsidR="00000000" w:rsidRPr="00000000">
        <w:rPr>
          <w:rFonts w:ascii="Google Sans Text" w:cs="Google Sans Text" w:eastAsia="Google Sans Text" w:hAnsi="Google Sans Text"/>
          <w:color w:val="1f1f1f"/>
          <w:rtl w:val="0"/>
        </w:rPr>
        <w:t xml:space="preserve"> Integracja eConsent -&gt; EDC. W modelu tradycyjnym koordynator ręcznie zaznacza w EDC "Zgoda podpisana". W modelu cyfrowym, EDC automatycznie blokuje możliwość wprowadzania jakichkolwiek danych medycznych dla pacjenta, dopóki nie otrzyma sygnału "Consent Signed" z systemu eConsent. Zapewnia to 100% zgodności etycznej.</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Architektura Technologiczna (Technology Layer)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technologiczna stanowi fundament fizyczny dla aplikacji, zapewniając moc obliczeniową, bezpieczeństwo i komunikację.</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Węzły i Urządzenia (Nodes &amp; Devices)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Rysunkiem 1, infrastruktura obejmuje:</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Serwery Centralne (Cloud Infrastructure):</w:t>
      </w:r>
    </w:p>
    <w:p w:rsidR="00000000" w:rsidDel="00000000" w:rsidP="00000000" w:rsidRDefault="00000000" w:rsidRPr="00000000" w14:paraId="000000D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Serwer EDC / CTMS / IRT:</w:t>
      </w:r>
      <w:r w:rsidDel="00000000" w:rsidR="00000000" w:rsidRPr="00000000">
        <w:rPr>
          <w:rFonts w:ascii="Google Sans Text" w:cs="Google Sans Text" w:eastAsia="Google Sans Text" w:hAnsi="Google Sans Text"/>
          <w:color w:val="1f1f1f"/>
          <w:rtl w:val="0"/>
        </w:rPr>
        <w:t xml:space="preserve"> Zlokalizowane w bezpiecznej chmurze (np. AWS, Azure, Google Cloud) w regionie zgodnym z regulacjami (np. Frankfurt dla danych z UE ze względu na RODO).</w:t>
      </w:r>
    </w:p>
    <w:p w:rsidR="00000000" w:rsidDel="00000000" w:rsidP="00000000" w:rsidRDefault="00000000" w:rsidRPr="00000000" w14:paraId="000000D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Charakterystyka:</w:t>
      </w:r>
      <w:r w:rsidDel="00000000" w:rsidR="00000000" w:rsidRPr="00000000">
        <w:rPr>
          <w:rFonts w:ascii="Google Sans Text" w:cs="Google Sans Text" w:eastAsia="Google Sans Text" w:hAnsi="Google Sans Text"/>
          <w:color w:val="1f1f1f"/>
          <w:rtl w:val="0"/>
        </w:rPr>
        <w:t xml:space="preserve"> Wysoka dostępność (High Availability), redundancja, backupy geograficzne.</w:t>
      </w:r>
    </w:p>
    <w:p w:rsidR="00000000" w:rsidDel="00000000" w:rsidP="00000000" w:rsidRDefault="00000000" w:rsidRPr="00000000" w14:paraId="000000D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Oprogramowanie:</w:t>
      </w:r>
      <w:r w:rsidDel="00000000" w:rsidR="00000000" w:rsidRPr="00000000">
        <w:rPr>
          <w:rFonts w:ascii="Google Sans Text" w:cs="Google Sans Text" w:eastAsia="Google Sans Text" w:hAnsi="Google Sans Text"/>
          <w:color w:val="1f1f1f"/>
          <w:rtl w:val="0"/>
        </w:rPr>
        <w:t xml:space="preserve"> Systemy operacyjne Linux/Windows Server, silniki baz danych SQL (Oracle/PostgreSQL) przechowujące dane w postaci zaszyfrowanej (Encryption at Rest).</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Urządzenia Końcowe (End User Devices):</w:t>
      </w:r>
    </w:p>
    <w:p w:rsidR="00000000" w:rsidDel="00000000" w:rsidP="00000000" w:rsidRDefault="00000000" w:rsidRPr="00000000" w14:paraId="000000E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Urządzenie Mobilne Uczestnika (Smartphone/Tablet):</w:t>
      </w:r>
      <w:r w:rsidDel="00000000" w:rsidR="00000000" w:rsidRPr="00000000">
        <w:rPr>
          <w:rFonts w:ascii="Google Sans Text" w:cs="Google Sans Text" w:eastAsia="Google Sans Text" w:hAnsi="Google Sans Text"/>
          <w:color w:val="1f1f1f"/>
          <w:rtl w:val="0"/>
        </w:rPr>
        <w:t xml:space="preserve"> Model BYOD. Urządzenie pełni rolę hosta dla aplikacji ePRO/eConsent.</w:t>
      </w:r>
    </w:p>
    <w:p w:rsidR="00000000" w:rsidDel="00000000" w:rsidP="00000000" w:rsidRDefault="00000000" w:rsidRPr="00000000" w14:paraId="000000E2">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Wymagania:</w:t>
      </w:r>
      <w:r w:rsidDel="00000000" w:rsidR="00000000" w:rsidRPr="00000000">
        <w:rPr>
          <w:rFonts w:ascii="Google Sans Text" w:cs="Google Sans Text" w:eastAsia="Google Sans Text" w:hAnsi="Google Sans Text"/>
          <w:color w:val="1f1f1f"/>
          <w:rtl w:val="0"/>
        </w:rPr>
        <w:t xml:space="preserve"> Kompatybilność z iOS/Android, zabezpieczenie biometryczne (FaceID/TouchID) dla dostępu do aplikacji.</w:t>
      </w:r>
    </w:p>
    <w:p w:rsidR="00000000" w:rsidDel="00000000" w:rsidP="00000000" w:rsidRDefault="00000000" w:rsidRPr="00000000" w14:paraId="000000E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Stacja Robocza Badacza (Site PC):</w:t>
      </w:r>
      <w:r w:rsidDel="00000000" w:rsidR="00000000" w:rsidRPr="00000000">
        <w:rPr>
          <w:rFonts w:ascii="Google Sans Text" w:cs="Google Sans Text" w:eastAsia="Google Sans Text" w:hAnsi="Google Sans Text"/>
          <w:color w:val="1f1f1f"/>
          <w:rtl w:val="0"/>
        </w:rPr>
        <w:t xml:space="preserve"> Laptop/Komputer stacjonarny w ośrodku. Dostęp do systemów EDC/IRT wyłącznie przez bezpieczną przeglądarkę (HTTPS/TLS 1.3).</w:t>
      </w:r>
    </w:p>
    <w:p w:rsidR="00000000" w:rsidDel="00000000" w:rsidP="00000000" w:rsidRDefault="00000000" w:rsidRPr="00000000" w14:paraId="000000E4">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Serwer Podpisu (Signature Server):</w:t>
      </w:r>
      <w:r w:rsidDel="00000000" w:rsidR="00000000" w:rsidRPr="00000000">
        <w:rPr>
          <w:rFonts w:ascii="Google Sans Text" w:cs="Google Sans Text" w:eastAsia="Google Sans Text" w:hAnsi="Google Sans Text"/>
          <w:color w:val="1f1f1f"/>
          <w:rtl w:val="0"/>
        </w:rPr>
        <w:t xml:space="preserve"> Dedykowany moduł HS (Hardware Security Module) lub usługa chmurowa (np. DocuSign API) odpowiedzialna za kryptograficzne zabezpieczenie podpisów eConsent.</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Usługi Technologiczne i Zgodność</w:t>
      </w:r>
    </w:p>
    <w:p w:rsidR="00000000" w:rsidDel="00000000" w:rsidP="00000000" w:rsidRDefault="00000000" w:rsidRPr="00000000" w14:paraId="000000E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"Secure eConsent":</w:t>
      </w:r>
      <w:r w:rsidDel="00000000" w:rsidR="00000000" w:rsidRPr="00000000">
        <w:rPr>
          <w:rFonts w:ascii="Google Sans Text" w:cs="Google Sans Text" w:eastAsia="Google Sans Text" w:hAnsi="Google Sans Text"/>
          <w:color w:val="1f1f1f"/>
          <w:rtl w:val="0"/>
        </w:rPr>
        <w:t xml:space="preserve"> Realizowana przez urządzenie mobilne i serwer podpisu. Gwarantuje, że dokument jest niezmienialny po podpisaniu.</w:t>
      </w:r>
    </w:p>
    <w:p w:rsidR="00000000" w:rsidDel="00000000" w:rsidP="00000000" w:rsidRDefault="00000000" w:rsidRPr="00000000" w14:paraId="000000E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"Audit &amp; Monitoring":</w:t>
      </w:r>
      <w:r w:rsidDel="00000000" w:rsidR="00000000" w:rsidRPr="00000000">
        <w:rPr>
          <w:rFonts w:ascii="Google Sans Text" w:cs="Google Sans Text" w:eastAsia="Google Sans Text" w:hAnsi="Google Sans Text"/>
          <w:color w:val="1f1f1f"/>
          <w:rtl w:val="0"/>
        </w:rPr>
        <w:t xml:space="preserve"> Realizowana przez warstwę bazy danych i aplikacji. Rejestruje każde zdarzenie systemowe: logowanie, edycję danych, eksport raportu. Logi audytowe muszą być czytelne dla człowieka i niemożliwe do edycji (Read-Only).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E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"Randomization Engine":</w:t>
      </w:r>
      <w:r w:rsidDel="00000000" w:rsidR="00000000" w:rsidRPr="00000000">
        <w:rPr>
          <w:rFonts w:ascii="Google Sans Text" w:cs="Google Sans Text" w:eastAsia="Google Sans Text" w:hAnsi="Google Sans Text"/>
          <w:color w:val="1f1f1f"/>
          <w:rtl w:val="0"/>
        </w:rPr>
        <w:t xml:space="preserve"> Silnik obliczeniowy wewnątrz IRT, wykonujący algorytmy przydziału. Musi być zwalidowany, aby zapewnić statystyczną losowość.</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Obowiązkowe Relacje Technologiczne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wytycznymi zadania, model ArchiMate uwzględnia relacje:</w:t>
      </w:r>
    </w:p>
    <w:p w:rsidR="00000000" w:rsidDel="00000000" w:rsidP="00000000" w:rsidRDefault="00000000" w:rsidRPr="00000000" w14:paraId="000000E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Sieć (Internet)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Association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Węzeł (Serwer EDC)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Urządzenie (Urządzenie Mobilne Uczestnika)</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Assignment</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Węzeł (Aplikacja ePRO Client)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Węzeł (Serwer EDC)</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Assignment</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Artefakt (Karta eCRF)</w:t>
      </w:r>
      <w:r w:rsidDel="00000000" w:rsidR="00000000" w:rsidRPr="00000000">
        <w:rPr>
          <w:rFonts w:ascii="Google Sans Text" w:cs="Google Sans Text" w:eastAsia="Google Sans Text" w:hAnsi="Google Sans Text"/>
          <w:color w:val="1f1f1f"/>
          <w:rtl w:val="0"/>
        </w:rPr>
        <w:t xml:space="preserve">. Karta eCRF jest cyfrowym obiektem przechowywanym w bazie danych węzła.</w:t>
      </w:r>
    </w:p>
    <w:p w:rsidR="00000000" w:rsidDel="00000000" w:rsidP="00000000" w:rsidRDefault="00000000" w:rsidRPr="00000000" w14:paraId="000000E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Węzeł (Serwer EDC)</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Assignment</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Artefakt (Raport AE)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Oprogramowanie Systemowe (Baza Danych SQL)</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Realization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Usługa Technologiczna ("Audit &amp; Monitoring")</w:t>
      </w:r>
      <w:r w:rsidDel="00000000" w:rsidR="00000000" w:rsidRPr="00000000">
        <w:rPr>
          <w:rFonts w:ascii="Google Sans Text" w:cs="Google Sans Text" w:eastAsia="Google Sans Text" w:hAnsi="Google Sans Text"/>
          <w:color w:val="1f1f1f"/>
          <w:rtl w:val="0"/>
        </w:rPr>
        <w:t xml:space="preserve">. Mechanizmy bazy danych (triggery, logi transakcyjne) realizują wymóg śledzenia zmian.</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Warstwa Motywacji i Wymagań (Motivation &amp; Requirements)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 sekcja wiąże decyzje technologiczne z celami biznesowymi, wyjaśniając "dlaczego" wdrażamy poszczególne elementy.</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Drivery i Cele (Drivers, Goals, Outcomes)</w:t>
      </w:r>
    </w:p>
    <w:p w:rsidR="00000000" w:rsidDel="00000000" w:rsidP="00000000" w:rsidRDefault="00000000" w:rsidRPr="00000000" w14:paraId="000000F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Presja Czasu (Time-to-Market).</w:t>
      </w:r>
      <w:r w:rsidDel="00000000" w:rsidR="00000000" w:rsidRPr="00000000">
        <w:rPr>
          <w:rFonts w:ascii="Google Sans Text" w:cs="Google Sans Text" w:eastAsia="Google Sans Text" w:hAnsi="Google Sans Text"/>
          <w:color w:val="1f1f1f"/>
          <w:rtl w:val="0"/>
        </w:rPr>
        <w:t xml:space="preserve"> Rynek kosmetyczny jest niezwykle dynamiczny. Opóźnienie wprowadzenia produktu o miesiąc może oznaczać utratę sezonu sprzedażowego.</w:t>
      </w:r>
    </w:p>
    <w:p w:rsidR="00000000" w:rsidDel="00000000" w:rsidP="00000000" w:rsidRDefault="00000000" w:rsidRPr="00000000" w14:paraId="000000F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Skrócenie rekrutacji o 20%.</w:t>
      </w:r>
    </w:p>
    <w:p w:rsidR="00000000" w:rsidDel="00000000" w:rsidP="00000000" w:rsidRDefault="00000000" w:rsidRPr="00000000" w14:paraId="000000F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Szybsze zakończenie badania i wcześniejsza data premiery produktu.</w:t>
      </w:r>
    </w:p>
    <w:p w:rsidR="00000000" w:rsidDel="00000000" w:rsidP="00000000" w:rsidRDefault="00000000" w:rsidRPr="00000000" w14:paraId="000000F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Wymogi Regulacyjne (Compliance).</w:t>
      </w:r>
      <w:r w:rsidDel="00000000" w:rsidR="00000000" w:rsidRPr="00000000">
        <w:rPr>
          <w:rFonts w:ascii="Google Sans Text" w:cs="Google Sans Text" w:eastAsia="Google Sans Text" w:hAnsi="Google Sans Text"/>
          <w:color w:val="1f1f1f"/>
          <w:rtl w:val="0"/>
        </w:rPr>
        <w:t xml:space="preserve"> Rosnąca rygorystyczność organów (UE, FDA) względem dowodów na skuteczność i bezpieczeństwo kosmetyków.</w:t>
      </w:r>
    </w:p>
    <w:p w:rsidR="00000000" w:rsidDel="00000000" w:rsidP="00000000" w:rsidRDefault="00000000" w:rsidRPr="00000000" w14:paraId="000000F7">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Uruchomienie pilotażu z pełną zgodnością GCP.</w:t>
      </w:r>
    </w:p>
    <w:p w:rsidR="00000000" w:rsidDel="00000000" w:rsidP="00000000" w:rsidRDefault="00000000" w:rsidRPr="00000000" w14:paraId="000000F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Bezproblemowe przejście audytów i akceptacja wyników badań przez regulatorów/partnerów handlowych.</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Jakość Danych (Data Quality).</w:t>
      </w:r>
    </w:p>
    <w:p w:rsidR="00000000" w:rsidDel="00000000" w:rsidP="00000000" w:rsidRDefault="00000000" w:rsidRPr="00000000" w14:paraId="000000F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100% rejestrowanych zdarzeń niepożądanych (AE).</w:t>
      </w:r>
    </w:p>
    <w:p w:rsidR="00000000" w:rsidDel="00000000" w:rsidP="00000000" w:rsidRDefault="00000000" w:rsidRPr="00000000" w14:paraId="000000FB">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Pełny i wiarygodny profil bezpieczeństwa produktu, minimalizacja ryzyka pozwów konsumenckich po wprowadzeniu na rynek.</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Wymagania (Requirements)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celów wynikają konkretne wymagania funkcjonalne i niefunkcjonalne dla architektury:</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Wymaganie: Elektroniczna Świadoma Zgoda (eConsent Requirement):</w:t>
      </w:r>
    </w:p>
    <w:p w:rsidR="00000000" w:rsidDel="00000000" w:rsidP="00000000" w:rsidRDefault="00000000" w:rsidRPr="00000000" w14:paraId="000000F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musi umożliwiać pacjentowi oznaczanie niezrozumiałych fragmentów tekstu i zadawanie pytań w trybie asynchronicznym lub przez wideo-połączenie.</w:t>
      </w:r>
    </w:p>
    <w:p w:rsidR="00000000" w:rsidDel="00000000" w:rsidP="00000000" w:rsidRDefault="00000000" w:rsidRPr="00000000" w14:paraId="0000010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musi obsługiwać wersjonowanie dokumentów (gdy zmienia się protokół, pacjent musi podpisać nową wersję zgody – Re-consent).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Wymaganie: Integralność Danych (Data Integrity - ALCOA+):</w:t>
      </w:r>
    </w:p>
    <w:p w:rsidR="00000000" w:rsidDel="00000000" w:rsidP="00000000" w:rsidRDefault="00000000" w:rsidRPr="00000000" w14:paraId="00000102">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Dane muszą być: Attributable (przypisywalne do osoby), Legible (czytelne), Contemporaneous (rejestrowane w czasie rzeczywistym), Original (oryginalne), Accurate (dokładne).</w:t>
      </w:r>
    </w:p>
    <w:p w:rsidR="00000000" w:rsidDel="00000000" w:rsidP="00000000" w:rsidRDefault="00000000" w:rsidRPr="00000000" w14:paraId="0000010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Realizacja poprzez Part 11 Audit Trails w systemach EDC i ePRO.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10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Wymaganie: Bezpieczeństwo Danych Osobowych (GDPR/RODO):</w:t>
      </w:r>
    </w:p>
    <w:p w:rsidR="00000000" w:rsidDel="00000000" w:rsidP="00000000" w:rsidRDefault="00000000" w:rsidRPr="00000000" w14:paraId="00000105">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Dane w EDC muszą być pseudonimizowane (Subject ID zamiast nazwiska).</w:t>
      </w:r>
    </w:p>
    <w:p w:rsidR="00000000" w:rsidDel="00000000" w:rsidP="00000000" w:rsidRDefault="00000000" w:rsidRPr="00000000" w14:paraId="0000010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eConsent (gdzie są dane osobowe) musi być logicznie odseparowany od bazy klinicznej EDC, z ograniczonym dostępem tylko dla personelu ośrodka.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0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Wymaganie: Ciągłość Działania (Business Continuity):</w:t>
      </w:r>
    </w:p>
    <w:p w:rsidR="00000000" w:rsidDel="00000000" w:rsidP="00000000" w:rsidRDefault="00000000" w:rsidRPr="00000000" w14:paraId="00000108">
      <w:pPr>
        <w:numPr>
          <w:ilvl w:val="1"/>
          <w:numId w:val="3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Aplikacja ePRO musi działać w trybie offline (Store-and-Forward), aby umożliwić zgłoszenie AE nawet przy braku zasięgu internetu, z automatyczną synchronizacją po odzyskaniu połączenia.</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Pryncypia Architektoniczne (Principles)</w:t>
      </w:r>
    </w:p>
    <w:p w:rsidR="00000000" w:rsidDel="00000000" w:rsidP="00000000" w:rsidRDefault="00000000" w:rsidRPr="00000000" w14:paraId="0000010A">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First":</w:t>
      </w:r>
      <w:r w:rsidDel="00000000" w:rsidR="00000000" w:rsidRPr="00000000">
        <w:rPr>
          <w:rFonts w:ascii="Google Sans Text" w:cs="Google Sans Text" w:eastAsia="Google Sans Text" w:hAnsi="Google Sans Text"/>
          <w:color w:val="1f1f1f"/>
          <w:rtl w:val="0"/>
        </w:rPr>
        <w:t xml:space="preserve"> Wszelkie dane powinny być pozyskiwane w formacie cyfrowym u źródła (eSource). Eliminacja papieru jest priorytetem.</w:t>
      </w:r>
    </w:p>
    <w:p w:rsidR="00000000" w:rsidDel="00000000" w:rsidP="00000000" w:rsidRDefault="00000000" w:rsidRPr="00000000" w14:paraId="0000010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"Patient Centricity" (Pacjent w Centrum):</w:t>
      </w:r>
      <w:r w:rsidDel="00000000" w:rsidR="00000000" w:rsidRPr="00000000">
        <w:rPr>
          <w:rFonts w:ascii="Google Sans Text" w:cs="Google Sans Text" w:eastAsia="Google Sans Text" w:hAnsi="Google Sans Text"/>
          <w:color w:val="1f1f1f"/>
          <w:rtl w:val="0"/>
        </w:rPr>
        <w:t xml:space="preserve"> Technologie są dobierane tak, aby minimalizować obciążenie pacjenta (User Experience, BYOD, zdalne wizyty).</w:t>
      </w:r>
    </w:p>
    <w:p w:rsidR="00000000" w:rsidDel="00000000" w:rsidP="00000000" w:rsidRDefault="00000000" w:rsidRPr="00000000" w14:paraId="0000010C">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"Interoperability over Integration":</w:t>
      </w:r>
      <w:r w:rsidDel="00000000" w:rsidR="00000000" w:rsidRPr="00000000">
        <w:rPr>
          <w:rFonts w:ascii="Google Sans Text" w:cs="Google Sans Text" w:eastAsia="Google Sans Text" w:hAnsi="Google Sans Text"/>
          <w:color w:val="1f1f1f"/>
          <w:rtl w:val="0"/>
        </w:rPr>
        <w:t xml:space="preserve"> Preferowanie otwartych standardów (CDISC ODM, REST API) nad sztywnymi, dedykowanymi połączeniami punkt-punkt.</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Analiza Luk i Plan Migracji (Gap Analysis &amp; Migration)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Przejście z modelu tradycyjnego (Paper-based) na cyfrowy (eClinical) wymaga precyzyjnego planu zarządzania zmianą.</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Analiza Luk (Gap Analysis)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Tabela poniżej prezentuje porównanie stanu obecnego i docelowego, identyfikując luki do wypełnienia.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Obecny (AS-IS) - Model Tradycyjny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Docelowy (TO-BE) - Model Cyfrowy (Zadanie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Luka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Akcja Naprawcza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 Zgody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Papierowe formularze, fizyczna archiwizacja w segregatorach. Ryzyko zagubienia, błędy w datowaniu, brak kontroli wersji.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eConsent</w:t>
            </w:r>
            <w:r w:rsidDel="00000000" w:rsidR="00000000" w:rsidRPr="00000000">
              <w:rPr>
                <w:rFonts w:ascii="Google Sans Text" w:cs="Google Sans Text" w:eastAsia="Google Sans Text" w:hAnsi="Google Sans Text"/>
                <w:color w:val="1f1f1f"/>
                <w:shd w:fill="auto" w:val="clear"/>
                <w:rtl w:val="0"/>
              </w:rPr>
              <w:t xml:space="preserve">. Centralne, cyfrowe repozytorium. Automatyczna walidacja pól, kontrola wersji, wideo-edukacja.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platformy eConsent, brak tabletów w ośrodkach.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Wdrożenie modułu eConsent, zakup tabletów, walidacja procesu eSignature.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Zbieranie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Papierowe CRF (pCRF), dane przepisywane do bazy z opóźnieniem &gt; 2 tygodni. Ryzyko błędów transkrypcji.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EDC + ePRO</w:t>
            </w:r>
            <w:r w:rsidDel="00000000" w:rsidR="00000000" w:rsidRPr="00000000">
              <w:rPr>
                <w:rFonts w:ascii="Google Sans Text" w:cs="Google Sans Text" w:eastAsia="Google Sans Text" w:hAnsi="Google Sans Text"/>
                <w:color w:val="1f1f1f"/>
                <w:shd w:fill="auto" w:val="clear"/>
                <w:rtl w:val="0"/>
              </w:rPr>
              <w:t xml:space="preserve">. Dane wprowadzane bezpośrednio w ośrodku i przez pacjenta (eSource). Widoczność w czasie rzeczywistym.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integracji źródeł danych, procesy oparte na papierze.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Konfiguracja badania w EDC, wdrożenie aplikacji ePRO dla pacjentów.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Randomizacja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Koperty z kodami w ośrodku. Ryzyko błędu ludzkiego, podglądania (unblinding) i manipulacji przydziałem.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IRT/RTSM</w:t>
            </w:r>
            <w:r w:rsidDel="00000000" w:rsidR="00000000" w:rsidRPr="00000000">
              <w:rPr>
                <w:rFonts w:ascii="Google Sans Text" w:cs="Google Sans Text" w:eastAsia="Google Sans Text" w:hAnsi="Google Sans Text"/>
                <w:color w:val="1f1f1f"/>
                <w:shd w:fill="auto" w:val="clear"/>
                <w:rtl w:val="0"/>
              </w:rPr>
              <w:t xml:space="preserve">. System centralny, algorytm komputerowy. Pełne zaślepienie, automatyczne zarządzanie zapasami.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systemu IRT, proces manualny.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Konfiguracja modułu randomizacyjnego w IRT, integracja z EDC.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Raportowanie 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Pacjent zgłasza objawy z pamięci podczas wizyty. Ryzyko "Under-reporting" (zapominanie o łagodnych objawach).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Real-time ePRO</w:t>
            </w:r>
            <w:r w:rsidDel="00000000" w:rsidR="00000000" w:rsidRPr="00000000">
              <w:rPr>
                <w:rFonts w:ascii="Google Sans Text" w:cs="Google Sans Text" w:eastAsia="Google Sans Text" w:hAnsi="Google Sans Text"/>
                <w:color w:val="1f1f1f"/>
                <w:shd w:fill="auto" w:val="clear"/>
                <w:rtl w:val="0"/>
              </w:rPr>
              <w:t xml:space="preserve">. Pacjent zgłasza objawy w momencie wystąpienia. Automatyczne alerty do badacza.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narzędzia do bieżącego zgłaszania przez pacjenta.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Implementacja modułu "Adverse Event Log" w aplikacji ePRO.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Monitorowanie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Wizyty w ośrodku co 4-8 tygodni w celu weryfikacji papierów (100% SDV). Kosztowne i powolne.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Risk-Based Monitoring (RBM)</w:t>
            </w:r>
            <w:r w:rsidDel="00000000" w:rsidR="00000000" w:rsidRPr="00000000">
              <w:rPr>
                <w:rFonts w:ascii="Google Sans Text" w:cs="Google Sans Text" w:eastAsia="Google Sans Text" w:hAnsi="Google Sans Text"/>
                <w:color w:val="1f1f1f"/>
                <w:shd w:fill="auto" w:val="clear"/>
                <w:rtl w:val="0"/>
              </w:rPr>
              <w:t xml:space="preserve">. Zdalny przegląd danych, wizyty celowane w ośrodkach o wysokim ryzyku.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narzędzi do zdalnego wglądu w dane.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Uruchomienie portalu dla Monitora z dostępem do eConsent i eCRF.</w:t>
            </w:r>
          </w:p>
        </w:tc>
      </w:tr>
    </w:tbl>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Plan Migracji (Migration Plan)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Plan wdrożenia został podzielony na pakiety robocze (Work Packages), realizowane zgodnie z metodyką kaskadową (Waterfall) ze względu na wymogi walidacyjne, ale z elementami Agile w fazie konfiguracji systemów.</w:t>
      </w:r>
    </w:p>
    <w:p w:rsidR="00000000" w:rsidDel="00000000" w:rsidP="00000000" w:rsidRDefault="00000000" w:rsidRPr="00000000" w14:paraId="0000013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1: Konfiguracja i Walidacja (Miesiące 1-2)</w:t>
      </w:r>
    </w:p>
    <w:p w:rsidR="00000000" w:rsidDel="00000000" w:rsidP="00000000" w:rsidRDefault="00000000" w:rsidRPr="00000000" w14:paraId="00000132">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WP1:</w:t>
      </w:r>
      <w:r w:rsidDel="00000000" w:rsidR="00000000" w:rsidRPr="00000000">
        <w:rPr>
          <w:rFonts w:ascii="Google Sans Text" w:cs="Google Sans Text" w:eastAsia="Google Sans Text" w:hAnsi="Google Sans Text"/>
          <w:color w:val="1f1f1f"/>
          <w:rtl w:val="0"/>
        </w:rPr>
        <w:t xml:space="preserve"> Opracowanie specyfikacji wymagań (URS) dla EDC, IRT, ePRO.</w:t>
      </w:r>
    </w:p>
    <w:p w:rsidR="00000000" w:rsidDel="00000000" w:rsidP="00000000" w:rsidRDefault="00000000" w:rsidRPr="00000000" w14:paraId="00000133">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WP2:</w:t>
      </w:r>
      <w:r w:rsidDel="00000000" w:rsidR="00000000" w:rsidRPr="00000000">
        <w:rPr>
          <w:rFonts w:ascii="Google Sans Text" w:cs="Google Sans Text" w:eastAsia="Google Sans Text" w:hAnsi="Google Sans Text"/>
          <w:color w:val="1f1f1f"/>
          <w:rtl w:val="0"/>
        </w:rPr>
        <w:t xml:space="preserve"> Konfiguracja systemów (Design &amp; Build) zgodnie z protokołem badania.</w:t>
      </w:r>
    </w:p>
    <w:p w:rsidR="00000000" w:rsidDel="00000000" w:rsidP="00000000" w:rsidRDefault="00000000" w:rsidRPr="00000000" w14:paraId="00000134">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WP3:</w:t>
      </w:r>
      <w:r w:rsidDel="00000000" w:rsidR="00000000" w:rsidRPr="00000000">
        <w:rPr>
          <w:rFonts w:ascii="Google Sans Text" w:cs="Google Sans Text" w:eastAsia="Google Sans Text" w:hAnsi="Google Sans Text"/>
          <w:color w:val="1f1f1f"/>
          <w:rtl w:val="0"/>
        </w:rPr>
        <w:t xml:space="preserve"> Testy Akceptacyjne Użytkownika (UAT) i Walidacja Systemów (IQ/OQ/PQ) zgodnie z GAMP5.</w:t>
      </w:r>
    </w:p>
    <w:p w:rsidR="00000000" w:rsidDel="00000000" w:rsidP="00000000" w:rsidRDefault="00000000" w:rsidRPr="00000000" w14:paraId="00000135">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Zwalidowane środowisko eClinical gotowe do użycia ("Go-Live Ready").</w:t>
      </w:r>
    </w:p>
    <w:p w:rsidR="00000000" w:rsidDel="00000000" w:rsidP="00000000" w:rsidRDefault="00000000" w:rsidRPr="00000000" w14:paraId="0000013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2: Szkolenie i Inicjacja Ośrodków (Miesiąc 3)</w:t>
      </w:r>
    </w:p>
    <w:p w:rsidR="00000000" w:rsidDel="00000000" w:rsidP="00000000" w:rsidRDefault="00000000" w:rsidRPr="00000000" w14:paraId="00000137">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WP4:</w:t>
      </w:r>
      <w:r w:rsidDel="00000000" w:rsidR="00000000" w:rsidRPr="00000000">
        <w:rPr>
          <w:rFonts w:ascii="Google Sans Text" w:cs="Google Sans Text" w:eastAsia="Google Sans Text" w:hAnsi="Google Sans Text"/>
          <w:color w:val="1f1f1f"/>
          <w:rtl w:val="0"/>
        </w:rPr>
        <w:t xml:space="preserve"> Przygotowanie materiałów szkoleniowych (eLearning) dla badaczy z obsługi tabletów i systemów.</w:t>
      </w:r>
    </w:p>
    <w:p w:rsidR="00000000" w:rsidDel="00000000" w:rsidP="00000000" w:rsidRDefault="00000000" w:rsidRPr="00000000" w14:paraId="00000138">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WP5:</w:t>
      </w:r>
      <w:r w:rsidDel="00000000" w:rsidR="00000000" w:rsidRPr="00000000">
        <w:rPr>
          <w:rFonts w:ascii="Google Sans Text" w:cs="Google Sans Text" w:eastAsia="Google Sans Text" w:hAnsi="Google Sans Text"/>
          <w:color w:val="1f1f1f"/>
          <w:rtl w:val="0"/>
        </w:rPr>
        <w:t xml:space="preserve"> Dystrybucja urządzeń (Tablety) do ośrodków.</w:t>
      </w:r>
    </w:p>
    <w:p w:rsidR="00000000" w:rsidDel="00000000" w:rsidP="00000000" w:rsidRDefault="00000000" w:rsidRPr="00000000" w14:paraId="0000013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WP6:</w:t>
      </w:r>
      <w:r w:rsidDel="00000000" w:rsidR="00000000" w:rsidRPr="00000000">
        <w:rPr>
          <w:rFonts w:ascii="Google Sans Text" w:cs="Google Sans Text" w:eastAsia="Google Sans Text" w:hAnsi="Google Sans Text"/>
          <w:color w:val="1f1f1f"/>
          <w:rtl w:val="0"/>
        </w:rPr>
        <w:t xml:space="preserve"> Wizyty inicjujące (SIV - Site Initiation Visit).</w:t>
      </w:r>
    </w:p>
    <w:p w:rsidR="00000000" w:rsidDel="00000000" w:rsidP="00000000" w:rsidRDefault="00000000" w:rsidRPr="00000000" w14:paraId="0000013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Ośrodki aktywne, personel przeszkolony i certyfikowany.</w:t>
      </w:r>
    </w:p>
    <w:p w:rsidR="00000000" w:rsidDel="00000000" w:rsidP="00000000" w:rsidRDefault="00000000" w:rsidRPr="00000000" w14:paraId="0000013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3: Rekrutacja i Wykonanie (Miesiące 4-9)</w:t>
      </w:r>
    </w:p>
    <w:p w:rsidR="00000000" w:rsidDel="00000000" w:rsidP="00000000" w:rsidRDefault="00000000" w:rsidRPr="00000000" w14:paraId="0000013C">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WP7:</w:t>
      </w:r>
      <w:r w:rsidDel="00000000" w:rsidR="00000000" w:rsidRPr="00000000">
        <w:rPr>
          <w:rFonts w:ascii="Google Sans Text" w:cs="Google Sans Text" w:eastAsia="Google Sans Text" w:hAnsi="Google Sans Text"/>
          <w:color w:val="1f1f1f"/>
          <w:rtl w:val="0"/>
        </w:rPr>
        <w:t xml:space="preserve"> Uruchomienie kampanii rekrutacyjnej online (Pre-screening).</w:t>
      </w:r>
    </w:p>
    <w:p w:rsidR="00000000" w:rsidDel="00000000" w:rsidP="00000000" w:rsidRDefault="00000000" w:rsidRPr="00000000" w14:paraId="0000013D">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WP8:</w:t>
      </w:r>
      <w:r w:rsidDel="00000000" w:rsidR="00000000" w:rsidRPr="00000000">
        <w:rPr>
          <w:rFonts w:ascii="Google Sans Text" w:cs="Google Sans Text" w:eastAsia="Google Sans Text" w:hAnsi="Google Sans Text"/>
          <w:color w:val="1f1f1f"/>
          <w:rtl w:val="0"/>
        </w:rPr>
        <w:t xml:space="preserve"> Bieżące zarządzanie badaniem, monitorowanie danych, obsługa zgłoszeń AE/SAE.</w:t>
      </w:r>
    </w:p>
    <w:p w:rsidR="00000000" w:rsidDel="00000000" w:rsidP="00000000" w:rsidRDefault="00000000" w:rsidRPr="00000000" w14:paraId="0000013E">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Zrekrutowana populacja badawcza, baza danych zasilana danymi na bieżąco.</w:t>
      </w:r>
    </w:p>
    <w:p w:rsidR="00000000" w:rsidDel="00000000" w:rsidP="00000000" w:rsidRDefault="00000000" w:rsidRPr="00000000" w14:paraId="0000013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4: Zamknięcie i Analiza (Miesiąc 10)</w:t>
      </w:r>
    </w:p>
    <w:p w:rsidR="00000000" w:rsidDel="00000000" w:rsidP="00000000" w:rsidRDefault="00000000" w:rsidRPr="00000000" w14:paraId="00000140">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WP9:</w:t>
      </w:r>
      <w:r w:rsidDel="00000000" w:rsidR="00000000" w:rsidRPr="00000000">
        <w:rPr>
          <w:rFonts w:ascii="Google Sans Text" w:cs="Google Sans Text" w:eastAsia="Google Sans Text" w:hAnsi="Google Sans Text"/>
          <w:color w:val="1f1f1f"/>
          <w:rtl w:val="0"/>
        </w:rPr>
        <w:t xml:space="preserve"> Rozwiązanie ostatnich zapytań (Queries), weryfikacja kodowania medycznego.</w:t>
      </w:r>
    </w:p>
    <w:p w:rsidR="00000000" w:rsidDel="00000000" w:rsidP="00000000" w:rsidRDefault="00000000" w:rsidRPr="00000000" w14:paraId="00000141">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WP10:</w:t>
      </w:r>
      <w:r w:rsidDel="00000000" w:rsidR="00000000" w:rsidRPr="00000000">
        <w:rPr>
          <w:rFonts w:ascii="Google Sans Text" w:cs="Google Sans Text" w:eastAsia="Google Sans Text" w:hAnsi="Google Sans Text"/>
          <w:color w:val="1f1f1f"/>
          <w:rtl w:val="0"/>
        </w:rPr>
        <w:t xml:space="preserve"> Soft Lock (zamknięcie edycji) -&gt; Podpisy Badaczy -&gt; Hard Lock (zablokowanie bazy).</w:t>
      </w:r>
    </w:p>
    <w:p w:rsidR="00000000" w:rsidDel="00000000" w:rsidP="00000000" w:rsidRDefault="00000000" w:rsidRPr="00000000" w14:paraId="0000014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WP11:</w:t>
      </w:r>
      <w:r w:rsidDel="00000000" w:rsidR="00000000" w:rsidRPr="00000000">
        <w:rPr>
          <w:rFonts w:ascii="Google Sans Text" w:cs="Google Sans Text" w:eastAsia="Google Sans Text" w:hAnsi="Google Sans Text"/>
          <w:color w:val="1f1f1f"/>
          <w:rtl w:val="0"/>
        </w:rPr>
        <w:t xml:space="preserve"> Eksport danych do analizy statystycznej (SAS/R).</w:t>
      </w:r>
    </w:p>
    <w:p w:rsidR="00000000" w:rsidDel="00000000" w:rsidP="00000000" w:rsidRDefault="00000000" w:rsidRPr="00000000" w14:paraId="00000143">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Czysta baza danych, Raport Końcowy.</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Mapa Wpływu Zmiany (Change Impact Map)</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Mapa ta wizualizuje łańcuch przyczynowo-skutkowy zmiany architektonicznej:</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Cel Biznesowy (Skrócenie rekrutacji) -&gt; Wymaganie (Zdalna zgoda i pre-screening) -&gt; Produkt Projektowy (Moduł eConsent) -&gt; Usługa Aplikacyjna (Cyfrowa rejestracja zgody) -&gt; Proces Biznesowy (Screening &amp; Enrollment) -&gt; Zasób Technologiczny (Tablet/Serwer Chmurowy).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podejście pokazuje bezpośrednie przełożenie inwestycji technologicznej (tablety, licencje) na realizację celów strategicznych organizacji.</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Metryki, Ryzyka i Zgodność</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Metryki Sukcesu (KPIs)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Monitorowanie postępów odbywać się będzie w oparciu o zestaw wskaźników zdefiniowanych w CTMS i EDC:</w:t>
      </w:r>
    </w:p>
    <w:p w:rsidR="00000000" w:rsidDel="00000000" w:rsidP="00000000" w:rsidRDefault="00000000" w:rsidRPr="00000000" w14:paraId="0000014B">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 Rekrutacji (Recruitment Rate):</w:t>
      </w:r>
      <w:r w:rsidDel="00000000" w:rsidR="00000000" w:rsidRPr="00000000">
        <w:rPr>
          <w:rFonts w:ascii="Google Sans Text" w:cs="Google Sans Text" w:eastAsia="Google Sans Text" w:hAnsi="Google Sans Text"/>
          <w:color w:val="1f1f1f"/>
          <w:rtl w:val="0"/>
        </w:rPr>
        <w:t xml:space="preserve"> Średnia liczba zrandomizowanych pacjentów na ośrodek na miesiąc.</w:t>
      </w:r>
    </w:p>
    <w:p w:rsidR="00000000" w:rsidDel="00000000" w:rsidP="00000000" w:rsidRDefault="00000000" w:rsidRPr="00000000" w14:paraId="0000014C">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Wzrost o 20% względem historycznych badań papierowych.</w:t>
      </w:r>
    </w:p>
    <w:p w:rsidR="00000000" w:rsidDel="00000000" w:rsidP="00000000" w:rsidRDefault="00000000" w:rsidRPr="00000000" w14:paraId="0000014D">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Wskaźnik Odrzuceń (Screen Failure Rate):</w:t>
      </w:r>
      <w:r w:rsidDel="00000000" w:rsidR="00000000" w:rsidRPr="00000000">
        <w:rPr>
          <w:rFonts w:ascii="Google Sans Text" w:cs="Google Sans Text" w:eastAsia="Google Sans Text" w:hAnsi="Google Sans Text"/>
          <w:color w:val="1f1f1f"/>
          <w:rtl w:val="0"/>
        </w:rPr>
        <w:t xml:space="preserve"> Procent kandydatów odrzuconych w fazie pre-screeningu online vs. w ośrodku.</w:t>
      </w:r>
    </w:p>
    <w:p w:rsidR="00000000" w:rsidDel="00000000" w:rsidP="00000000" w:rsidRDefault="00000000" w:rsidRPr="00000000" w14:paraId="0000014E">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Wysoki odsetek odrzuceń online (oszczędność czasu lekarza) i niski w ośrodku.</w:t>
      </w:r>
    </w:p>
    <w:p w:rsidR="00000000" w:rsidDel="00000000" w:rsidP="00000000" w:rsidRDefault="00000000" w:rsidRPr="00000000" w14:paraId="0000014F">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Kompletność Raportowania AE (AE Reporting Compliance):</w:t>
      </w:r>
      <w:r w:rsidDel="00000000" w:rsidR="00000000" w:rsidRPr="00000000">
        <w:rPr>
          <w:rFonts w:ascii="Google Sans Text" w:cs="Google Sans Text" w:eastAsia="Google Sans Text" w:hAnsi="Google Sans Text"/>
          <w:color w:val="1f1f1f"/>
          <w:rtl w:val="0"/>
        </w:rPr>
        <w:t xml:space="preserve"> Stosunek liczby wizyt z potwierdzonym przeglądem AE do całkowitej liczby wizyt.</w:t>
      </w:r>
    </w:p>
    <w:p w:rsidR="00000000" w:rsidDel="00000000" w:rsidP="00000000" w:rsidRDefault="00000000" w:rsidRPr="00000000" w14:paraId="00000150">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100%. Dodatkowo: Liczba AE zgłoszonych przez ePRO vs. podczas wizyt (miernik zaangażowania pacjenta w ePRO).</w:t>
      </w:r>
    </w:p>
    <w:p w:rsidR="00000000" w:rsidDel="00000000" w:rsidP="00000000" w:rsidRDefault="00000000" w:rsidRPr="00000000" w14:paraId="0000015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Czas do Zamknięcia Danych (Time to Data Lock):</w:t>
      </w:r>
      <w:r w:rsidDel="00000000" w:rsidR="00000000" w:rsidRPr="00000000">
        <w:rPr>
          <w:rFonts w:ascii="Google Sans Text" w:cs="Google Sans Text" w:eastAsia="Google Sans Text" w:hAnsi="Google Sans Text"/>
          <w:color w:val="1f1f1f"/>
          <w:rtl w:val="0"/>
        </w:rPr>
        <w:t xml:space="preserve"> Liczba dni od wizyty ostatniego pacjenta (LPLV - Last Patient Last Visit) do ostatecznego zablokowania bazy (DB Lock).</w:t>
      </w:r>
    </w:p>
    <w:p w:rsidR="00000000" w:rsidDel="00000000" w:rsidP="00000000" w:rsidRDefault="00000000" w:rsidRPr="00000000" w14:paraId="00000152">
      <w:pPr>
        <w:numPr>
          <w:ilvl w:val="1"/>
          <w:numId w:val="4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&lt; 5 dni (tradycyjnie 30-60 dni). Umożliwione dzięki braku zaległości w wprowadzaniu danych (Data Entry Lag &lt; 24h).</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Zarządzanie Ryzykiem</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 wiąże się z ryzykami technologicznymi i operacyjnymi, które muszą zostać zaadresowane.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Ryzyko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Prawdopodobieństwo / Wpływ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Plan Mitygacji (Mitigation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Brak kompletności zgłoszeń AE (Under-reporting)</w:t>
            </w:r>
            <w:r w:rsidDel="00000000" w:rsidR="00000000" w:rsidRPr="00000000">
              <w:rPr>
                <w:rFonts w:ascii="Google Sans Text" w:cs="Google Sans Text" w:eastAsia="Google Sans Text" w:hAnsi="Google Sans Text"/>
                <w:color w:val="1f1f1f"/>
                <w:shd w:fill="auto" w:val="clear"/>
                <w:rtl w:val="0"/>
              </w:rPr>
              <w:t xml:space="preserve">. Pacjenci mogą ignorować aplikację ePRO lub zapominać o wpisach.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Średnie / Wysokie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Wdrożenie automatycznych powiadomień (Push Notifications/SMS) przypominających o dzienniczku. Grywalizacja (Gamification) w aplikacji. Regularna weryfikacja danych przez Monitora i przypominanie przez Badacza.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Problemy techniczne z eConsent</w:t>
            </w:r>
            <w:r w:rsidDel="00000000" w:rsidR="00000000" w:rsidRPr="00000000">
              <w:rPr>
                <w:rFonts w:ascii="Google Sans Text" w:cs="Google Sans Text" w:eastAsia="Google Sans Text" w:hAnsi="Google Sans Text"/>
                <w:color w:val="1f1f1f"/>
                <w:shd w:fill="auto" w:val="clear"/>
                <w:rtl w:val="0"/>
              </w:rPr>
              <w:t xml:space="preserve"> (np. awaria tabletu, brak internetu w ośrodku). Uniemożliwia rekrutację.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Niskie / Wysokie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Plan Ciągłości Działania (BCP):</w:t>
            </w:r>
            <w:r w:rsidDel="00000000" w:rsidR="00000000" w:rsidRPr="00000000">
              <w:rPr>
                <w:rFonts w:ascii="Google Sans Text" w:cs="Google Sans Text" w:eastAsia="Google Sans Text" w:hAnsi="Google Sans Text"/>
                <w:color w:val="1f1f1f"/>
                <w:shd w:fill="auto" w:val="clear"/>
                <w:rtl w:val="0"/>
              </w:rPr>
              <w:t xml:space="preserve"> Procedura awaryjna zezwalająca na użycie certyfikowanych kopii papierowych formularzy zgody ("Paper Backup"), z późniejszym wprowadzeniem do systemu jako skan lub nota wyjaśniająca. Zapewnienie tabletów z kartami SIM (LTE/5G) niezależnych od Wi-Fi szpitala.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Naruszenie danych osobowych (Data Breach).</w:t>
            </w:r>
            <w:r w:rsidDel="00000000" w:rsidR="00000000" w:rsidRPr="00000000">
              <w:rPr>
                <w:rFonts w:ascii="Google Sans Text" w:cs="Google Sans Text" w:eastAsia="Google Sans Text" w:hAnsi="Google Sans Text"/>
                <w:color w:val="1f1f1f"/>
                <w:shd w:fill="auto" w:val="clear"/>
                <w:rtl w:val="0"/>
              </w:rPr>
              <w:t xml:space="preserve"> Wyciek danych wrażliwych z chmury lub zgubienie tabletu.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Niskie / Bardzo Wysokie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 by Design:</w:t>
            </w:r>
            <w:r w:rsidDel="00000000" w:rsidR="00000000" w:rsidRPr="00000000">
              <w:rPr>
                <w:rFonts w:ascii="Google Sans Text" w:cs="Google Sans Text" w:eastAsia="Google Sans Text" w:hAnsi="Google Sans Text"/>
                <w:color w:val="1f1f1f"/>
                <w:shd w:fill="auto" w:val="clear"/>
                <w:rtl w:val="0"/>
              </w:rPr>
              <w:t xml:space="preserve"> Szyfrowanie danych na tabletach (Full Disk Encryption). Możliwość zdalnego wymazania danych (Remote Wipe) przez MDM. Pseudonimizacja danych w EDC. Regularne testy penetracyjne.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Opór Badaczy przed nową technologią.</w:t>
            </w:r>
            <w:r w:rsidDel="00000000" w:rsidR="00000000" w:rsidRPr="00000000">
              <w:rPr>
                <w:rFonts w:ascii="Google Sans Text" w:cs="Google Sans Text" w:eastAsia="Google Sans Text" w:hAnsi="Google Sans Text"/>
                <w:color w:val="1f1f1f"/>
                <w:shd w:fill="auto" w:val="clear"/>
                <w:rtl w:val="0"/>
              </w:rPr>
              <w:t xml:space="preserve"> Starszy personel może mieć trudności z obsługą systemów cyfrowych.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Średnie / Średnie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Intensywne szkolenia wstępne. Dedykowana linia wsparcia (Helpdesk 24/7). Intuicyjny interfejs użytkownika (UX) systemów.</w:t>
            </w:r>
          </w:p>
        </w:tc>
      </w:tr>
    </w:tbl>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Zgodność Regulacyjna (Compliance)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został zaprojektowany z myślą o spełnieniu kluczowych norm prawnych:</w:t>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GCP (Dobra Praktyka Kliniczna) / ICH E6 (R3):</w:t>
      </w:r>
      <w:r w:rsidDel="00000000" w:rsidR="00000000" w:rsidRPr="00000000">
        <w:rPr>
          <w:rFonts w:ascii="Google Sans Text" w:cs="Google Sans Text" w:eastAsia="Google Sans Text" w:hAnsi="Google Sans Text"/>
          <w:color w:val="1f1f1f"/>
          <w:rtl w:val="0"/>
        </w:rPr>
        <w:t xml:space="preserve"> Systemy wspierają zasady GCP poprzez zapewnienie identyfikowalności zmian, bezpieczeństwa danych i ochrony praw uczestników.</w:t>
      </w:r>
    </w:p>
    <w:p w:rsidR="00000000" w:rsidDel="00000000" w:rsidP="00000000" w:rsidRDefault="00000000" w:rsidRPr="00000000" w14:paraId="0000016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FDA 21 CFR Part 11 / EU Annex 11:</w:t>
      </w:r>
      <w:r w:rsidDel="00000000" w:rsidR="00000000" w:rsidRPr="00000000">
        <w:rPr>
          <w:rFonts w:ascii="Google Sans Text" w:cs="Google Sans Text" w:eastAsia="Google Sans Text" w:hAnsi="Google Sans Text"/>
          <w:color w:val="1f1f1f"/>
          <w:rtl w:val="0"/>
        </w:rPr>
        <w:t xml:space="preserve"> Systemy eConsent i EDC spełniają techniczne wymogi dla systemów elektronicznych:</w:t>
      </w:r>
    </w:p>
    <w:p w:rsidR="00000000" w:rsidDel="00000000" w:rsidP="00000000" w:rsidRDefault="00000000" w:rsidRPr="00000000" w14:paraId="00000168">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Unikalne konta użytkowników i silne hasła.</w:t>
      </w:r>
    </w:p>
    <w:p w:rsidR="00000000" w:rsidDel="00000000" w:rsidP="00000000" w:rsidRDefault="00000000" w:rsidRPr="00000000" w14:paraId="00000169">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Wymuszone okresowe zmiany haseł.</w:t>
      </w:r>
    </w:p>
    <w:p w:rsidR="00000000" w:rsidDel="00000000" w:rsidP="00000000" w:rsidRDefault="00000000" w:rsidRPr="00000000" w14:paraId="0000016A">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Automatyczne wylogowanie po okresie bezczynności.</w:t>
      </w:r>
    </w:p>
    <w:p w:rsidR="00000000" w:rsidDel="00000000" w:rsidP="00000000" w:rsidRDefault="00000000" w:rsidRPr="00000000" w14:paraId="0000016B">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Niezmazywalna ścieżka audytu (Audit Trail) rejestrująca: Kto, Co, Kiedy (UTC), Starą Wartość, Nową Wartość i Powód Zmiany.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16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RODO (GDPR):</w:t>
      </w:r>
    </w:p>
    <w:p w:rsidR="00000000" w:rsidDel="00000000" w:rsidP="00000000" w:rsidRDefault="00000000" w:rsidRPr="00000000" w14:paraId="0000016D">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Zasada "Privacy by Design".</w:t>
      </w:r>
    </w:p>
    <w:p w:rsidR="00000000" w:rsidDel="00000000" w:rsidP="00000000" w:rsidRDefault="00000000" w:rsidRPr="00000000" w14:paraId="0000016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Uzyskanie wyraźnej, oddzielnej zgody na przetwarzanie danych w eConsent.</w:t>
      </w:r>
    </w:p>
    <w:p w:rsidR="00000000" w:rsidDel="00000000" w:rsidP="00000000" w:rsidRDefault="00000000" w:rsidRPr="00000000" w14:paraId="0000016F">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Realizacja prawa do bycia zapomnianym (możliwość anonimizacji danych po wycofaniu zgody, przy zachowaniu wymogów retencji danych klinicznych).</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70">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 22716 / Cosmetovigilance:</w:t>
      </w:r>
      <w:r w:rsidDel="00000000" w:rsidR="00000000" w:rsidRPr="00000000">
        <w:rPr>
          <w:rFonts w:ascii="Google Sans Text" w:cs="Google Sans Text" w:eastAsia="Google Sans Text" w:hAnsi="Google Sans Text"/>
          <w:color w:val="1f1f1f"/>
          <w:rtl w:val="0"/>
        </w:rPr>
        <w:t xml:space="preserve"> Zgodność z europejskimi wytycznymi dotyczącymi monitorowania i raportowania SUE (Serious Undesirable Effects) dla produktów kosmetycznych. Raportowanie SUE w UE musi nastąpić w ciągu 20 dni kalendarzowych, co jest wspierane przez automatyczne alerty w systemie EDC/ePRO.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Podsumowanie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Przedstawiony raport architektury korporacyjnej dla zadania "Badania kliniczne nowego kosmetyku" demonstruje, jak zastosowanie zintegrowanego pakietu technologii eClinical (EDC, IRT, eConsent, ePRO) pozwala na transformację tradycyjnego, papierowego procesu badawczego w nowoczesny, cyfrowy ekosystem. Zaproponowane rozwiązanie bezpośrednio adresuje cele biznesowe: skrócenie rekrutacji o 20% (dzięki eConsent i pre-screeningowi) oraz zapewnienie 100% jakości danych bezpieczeństwa (dzięki ePRO).</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Kluczem do sukcesu nie jest samo wdrożenie technologii, lecz staranne zaprojektowanie procesów biznesowych (BPMN) i przepływów danych, z uwzględnieniem specyfiki badań kosmetycznych i wymogów regulacyjnych (GCP, Cosmetovigilance). Model ten nie tylko zwiększa efektywność operacyjną, ale przede wszystkim podnosi bezpieczeństwo pacjentów i wiarygodność danych, budując przewagę konkurencyjną organizacji na rynku produktów innowacyjnych.</w:t>
      </w:r>
    </w:p>
    <w:p w:rsidR="00000000" w:rsidDel="00000000" w:rsidP="00000000" w:rsidRDefault="00000000" w:rsidRPr="00000000" w14:paraId="000001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17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Good Clinical Practice (GCP) and Why Does it Matter in Clinical Trials? - Citruslabs, otwierano: stycznia 16, 2026, </w:t>
      </w:r>
      <w:hyperlink r:id="rId6">
        <w:r w:rsidDel="00000000" w:rsidR="00000000" w:rsidRPr="00000000">
          <w:rPr>
            <w:rFonts w:ascii="Google Sans" w:cs="Google Sans" w:eastAsia="Google Sans" w:hAnsi="Google Sans"/>
            <w:color w:val="0000ee"/>
            <w:sz w:val="24"/>
            <w:szCs w:val="24"/>
            <w:u w:val="single"/>
            <w:rtl w:val="0"/>
          </w:rPr>
          <w:t xml:space="preserve">https://www.citruslabs.com/post/what-is-good-clinical-practice-gcp-and-why-does-it-matter-in-clinical-trials</w:t>
        </w:r>
      </w:hyperlink>
      <w:r w:rsidDel="00000000" w:rsidR="00000000" w:rsidRPr="00000000">
        <w:rPr>
          <w:rtl w:val="0"/>
        </w:rPr>
      </w:r>
    </w:p>
    <w:p w:rsidR="00000000" w:rsidDel="00000000" w:rsidP="00000000" w:rsidRDefault="00000000" w:rsidRPr="00000000" w14:paraId="0000017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and write a clinical research protocol in Cosmetic Dermatology - PMC - NIH, otwierano: stycznia 16,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https://pmc.ncbi.nlm.nih.gov/articles/PMC3699935/</w:t>
        </w:r>
      </w:hyperlink>
      <w:r w:rsidDel="00000000" w:rsidR="00000000" w:rsidRPr="00000000">
        <w:rPr>
          <w:rtl w:val="0"/>
        </w:rPr>
      </w:r>
    </w:p>
    <w:p w:rsidR="00000000" w:rsidDel="00000000" w:rsidP="00000000" w:rsidRDefault="00000000" w:rsidRPr="00000000" w14:paraId="0000017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modelowanie 14.12.25.pdf</w:t>
      </w:r>
    </w:p>
    <w:p w:rsidR="00000000" w:rsidDel="00000000" w:rsidP="00000000" w:rsidRDefault="00000000" w:rsidRPr="00000000" w14:paraId="0000017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E6(R3) Good Clinical Practice (GCP) September 2025 - FDA, otwierano: stycznia 16, 2026, </w:t>
      </w:r>
      <w:hyperlink r:id="rId8">
        <w:r w:rsidDel="00000000" w:rsidR="00000000" w:rsidRPr="00000000">
          <w:rPr>
            <w:rFonts w:ascii="Google Sans" w:cs="Google Sans" w:eastAsia="Google Sans" w:hAnsi="Google Sans"/>
            <w:color w:val="0000ee"/>
            <w:sz w:val="24"/>
            <w:szCs w:val="24"/>
            <w:u w:val="single"/>
            <w:rtl w:val="0"/>
          </w:rPr>
          <w:t xml:space="preserve">https://www.fda.gov/regulatory-information/search-fda-guidance-documents/e6r3-good-clinical-practice-gcp</w:t>
        </w:r>
      </w:hyperlink>
      <w:r w:rsidDel="00000000" w:rsidR="00000000" w:rsidRPr="00000000">
        <w:rPr>
          <w:rtl w:val="0"/>
        </w:rPr>
      </w:r>
    </w:p>
    <w:p w:rsidR="00000000" w:rsidDel="00000000" w:rsidP="00000000" w:rsidRDefault="00000000" w:rsidRPr="00000000" w14:paraId="0000017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Good Clinical Practice guidelines and its role in clinical trials - PMC - NIH, otwierano: stycznia 16,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https://pmc.ncbi.nlm.nih.gov/articles/PMC3097692/</w:t>
        </w:r>
      </w:hyperlink>
      <w:r w:rsidDel="00000000" w:rsidR="00000000" w:rsidRPr="00000000">
        <w:rPr>
          <w:rtl w:val="0"/>
        </w:rPr>
      </w:r>
    </w:p>
    <w:p w:rsidR="00000000" w:rsidDel="00000000" w:rsidP="00000000" w:rsidRDefault="00000000" w:rsidRPr="00000000" w14:paraId="0000017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Survey Reveals Clinical Data Management Delays Are Slowing Trial Completion, otwierano: stycznia 16, 2026, </w:t>
      </w:r>
      <w:hyperlink r:id="rId10">
        <w:r w:rsidDel="00000000" w:rsidR="00000000" w:rsidRPr="00000000">
          <w:rPr>
            <w:rFonts w:ascii="Google Sans" w:cs="Google Sans" w:eastAsia="Google Sans" w:hAnsi="Google Sans"/>
            <w:color w:val="0000ee"/>
            <w:sz w:val="24"/>
            <w:szCs w:val="24"/>
            <w:u w:val="single"/>
            <w:rtl w:val="0"/>
          </w:rPr>
          <w:t xml:space="preserve">https://www.veeva.com/resources/industry-survey-reveals-clinical-data-management-delays-slow-trial-completion/</w:t>
        </w:r>
      </w:hyperlink>
      <w:r w:rsidDel="00000000" w:rsidR="00000000" w:rsidRPr="00000000">
        <w:rPr>
          <w:rtl w:val="0"/>
        </w:rPr>
      </w:r>
    </w:p>
    <w:p w:rsidR="00000000" w:rsidDel="00000000" w:rsidP="00000000" w:rsidRDefault="00000000" w:rsidRPr="00000000" w14:paraId="0000017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Patient Recruitment Strategies for Dermatology Clinical Trials - TFS HealthScience | Contract Research Organization | Global Resourcing Provider | CRO, otwierano: stycznia 16, 2026, </w:t>
      </w:r>
      <w:hyperlink r:id="rId11">
        <w:r w:rsidDel="00000000" w:rsidR="00000000" w:rsidRPr="00000000">
          <w:rPr>
            <w:rFonts w:ascii="Google Sans" w:cs="Google Sans" w:eastAsia="Google Sans" w:hAnsi="Google Sans"/>
            <w:color w:val="0000ee"/>
            <w:sz w:val="24"/>
            <w:szCs w:val="24"/>
            <w:u w:val="single"/>
            <w:rtl w:val="0"/>
          </w:rPr>
          <w:t xml:space="preserve">https://tfscro.com/resources/5-effective-patient-recruitment-strategies-for-dermatology-clinical-trials/</w:t>
        </w:r>
      </w:hyperlink>
      <w:r w:rsidDel="00000000" w:rsidR="00000000" w:rsidRPr="00000000">
        <w:rPr>
          <w:rtl w:val="0"/>
        </w:rPr>
      </w:r>
    </w:p>
    <w:p w:rsidR="00000000" w:rsidDel="00000000" w:rsidP="00000000" w:rsidRDefault="00000000" w:rsidRPr="00000000" w14:paraId="0000017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key recruitment performance metrics from 2008–2019 in industry-sponsored phase III clinical trials registered at ClinicalTrials.gov, otwierano: stycznia 16,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https://pmc.ncbi.nlm.nih.gov/articles/PMC9321424/</w:t>
        </w:r>
      </w:hyperlink>
      <w:r w:rsidDel="00000000" w:rsidR="00000000" w:rsidRPr="00000000">
        <w:rPr>
          <w:rtl w:val="0"/>
        </w:rPr>
      </w:r>
    </w:p>
    <w:p w:rsidR="00000000" w:rsidDel="00000000" w:rsidP="00000000" w:rsidRDefault="00000000" w:rsidRPr="00000000" w14:paraId="0000017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eConsent with EDC: Streamlined Workflows for Seamless Trials, otwierano: stycznia 16, 2026, </w:t>
      </w:r>
      <w:hyperlink r:id="rId13">
        <w:r w:rsidDel="00000000" w:rsidR="00000000" w:rsidRPr="00000000">
          <w:rPr>
            <w:rFonts w:ascii="Google Sans" w:cs="Google Sans" w:eastAsia="Google Sans" w:hAnsi="Google Sans"/>
            <w:color w:val="0000ee"/>
            <w:sz w:val="24"/>
            <w:szCs w:val="24"/>
            <w:u w:val="single"/>
            <w:rtl w:val="0"/>
          </w:rPr>
          <w:t xml:space="preserve">https://www.crucialdatasolutions.com/blog/econsent-and-edc/</w:t>
        </w:r>
      </w:hyperlink>
      <w:r w:rsidDel="00000000" w:rsidR="00000000" w:rsidRPr="00000000">
        <w:rPr>
          <w:rtl w:val="0"/>
        </w:rPr>
      </w:r>
    </w:p>
    <w:p w:rsidR="00000000" w:rsidDel="00000000" w:rsidP="00000000" w:rsidRDefault="00000000" w:rsidRPr="00000000" w14:paraId="0000017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a Seamless IRT and EDC Integration in Clinical Trial Execution - Suvoda, otwierano: stycznia 16, 2026, </w:t>
      </w:r>
      <w:hyperlink r:id="rId14">
        <w:r w:rsidDel="00000000" w:rsidR="00000000" w:rsidRPr="00000000">
          <w:rPr>
            <w:rFonts w:ascii="Google Sans" w:cs="Google Sans" w:eastAsia="Google Sans" w:hAnsi="Google Sans"/>
            <w:color w:val="0000ee"/>
            <w:sz w:val="24"/>
            <w:szCs w:val="24"/>
            <w:u w:val="single"/>
            <w:rtl w:val="0"/>
          </w:rPr>
          <w:t xml:space="preserve">https://www.suvoda.com/thank-you-the-benefits-of-a-seamless-irt-and-edc-integration-in-clinical-trial-execution</w:t>
        </w:r>
      </w:hyperlink>
      <w:r w:rsidDel="00000000" w:rsidR="00000000" w:rsidRPr="00000000">
        <w:rPr>
          <w:rtl w:val="0"/>
        </w:rPr>
      </w:r>
    </w:p>
    <w:p w:rsidR="00000000" w:rsidDel="00000000" w:rsidP="00000000" w:rsidRDefault="00000000" w:rsidRPr="00000000" w14:paraId="0000017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Integrations Without the Headaches: What It Really Takes to Make Systems Work Together in Clinical Trials, otwierano: stycznia 16, 2026, </w:t>
      </w:r>
      <w:hyperlink r:id="rId15">
        <w:r w:rsidDel="00000000" w:rsidR="00000000" w:rsidRPr="00000000">
          <w:rPr>
            <w:rFonts w:ascii="Google Sans" w:cs="Google Sans" w:eastAsia="Google Sans" w:hAnsi="Google Sans"/>
            <w:color w:val="0000ee"/>
            <w:sz w:val="24"/>
            <w:szCs w:val="24"/>
            <w:u w:val="single"/>
            <w:rtl w:val="0"/>
          </w:rPr>
          <w:t xml:space="preserve">https://www.endpointclinical.com/insights/integrations-without-the-headaches-what-it-really-takes-to-make-systems-work-together-in-clinical-trials</w:t>
        </w:r>
      </w:hyperlink>
      <w:r w:rsidDel="00000000" w:rsidR="00000000" w:rsidRPr="00000000">
        <w:rPr>
          <w:rtl w:val="0"/>
        </w:rPr>
      </w:r>
    </w:p>
    <w:p w:rsidR="00000000" w:rsidDel="00000000" w:rsidP="00000000" w:rsidRDefault="00000000" w:rsidRPr="00000000" w14:paraId="0000018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Ensuring Your Clinical Data Complies with FDA's 21 CFR Part 11 - Greenlight Guru, otwierano: stycznia 16, 2026, </w:t>
      </w:r>
      <w:hyperlink r:id="rId16">
        <w:r w:rsidDel="00000000" w:rsidR="00000000" w:rsidRPr="00000000">
          <w:rPr>
            <w:rFonts w:ascii="Google Sans" w:cs="Google Sans" w:eastAsia="Google Sans" w:hAnsi="Google Sans"/>
            <w:color w:val="0000ee"/>
            <w:sz w:val="24"/>
            <w:szCs w:val="24"/>
            <w:u w:val="single"/>
            <w:rtl w:val="0"/>
          </w:rPr>
          <w:t xml:space="preserve">https://www.greenlight.guru/blog/tips-ensure-clinical-data-complies-with-fda-21-cfr-part-11</w:t>
        </w:r>
      </w:hyperlink>
      <w:r w:rsidDel="00000000" w:rsidR="00000000" w:rsidRPr="00000000">
        <w:rPr>
          <w:rtl w:val="0"/>
        </w:rPr>
      </w:r>
    </w:p>
    <w:p w:rsidR="00000000" w:rsidDel="00000000" w:rsidP="00000000" w:rsidRDefault="00000000" w:rsidRPr="00000000" w14:paraId="0000018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Data Protection Regulation (GDPR) in Human Subjects Research - UCSF IRB, otwierano: stycznia 16, 2026, </w:t>
      </w:r>
      <w:hyperlink r:id="rId17">
        <w:r w:rsidDel="00000000" w:rsidR="00000000" w:rsidRPr="00000000">
          <w:rPr>
            <w:rFonts w:ascii="Google Sans" w:cs="Google Sans" w:eastAsia="Google Sans" w:hAnsi="Google Sans"/>
            <w:color w:val="0000ee"/>
            <w:sz w:val="24"/>
            <w:szCs w:val="24"/>
            <w:u w:val="single"/>
            <w:rtl w:val="0"/>
          </w:rPr>
          <w:t xml:space="preserve">https://irb.ucsf.edu/gdpr</w:t>
        </w:r>
      </w:hyperlink>
      <w:r w:rsidDel="00000000" w:rsidR="00000000" w:rsidRPr="00000000">
        <w:rPr>
          <w:rtl w:val="0"/>
        </w:rPr>
      </w:r>
    </w:p>
    <w:p w:rsidR="00000000" w:rsidDel="00000000" w:rsidP="00000000" w:rsidRDefault="00000000" w:rsidRPr="00000000" w14:paraId="0000018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Clinical Trial Platforms in 2025: A Practical Guide for Clinical Operations - Castor EDC, otwierano: stycznia 16, 2026, </w:t>
      </w:r>
      <w:hyperlink r:id="rId18">
        <w:r w:rsidDel="00000000" w:rsidR="00000000" w:rsidRPr="00000000">
          <w:rPr>
            <w:rFonts w:ascii="Google Sans" w:cs="Google Sans" w:eastAsia="Google Sans" w:hAnsi="Google Sans"/>
            <w:color w:val="0000ee"/>
            <w:sz w:val="24"/>
            <w:szCs w:val="24"/>
            <w:u w:val="single"/>
            <w:rtl w:val="0"/>
          </w:rPr>
          <w:t xml:space="preserve">https://www.castoredc.com/insight-briefs/decentralized-clinical-trial-platforms-in-2025-a-practical-guide-for-clinical-operations/</w:t>
        </w:r>
      </w:hyperlink>
      <w:r w:rsidDel="00000000" w:rsidR="00000000" w:rsidRPr="00000000">
        <w:rPr>
          <w:rtl w:val="0"/>
        </w:rPr>
      </w:r>
    </w:p>
    <w:p w:rsidR="00000000" w:rsidDel="00000000" w:rsidP="00000000" w:rsidRDefault="00000000" w:rsidRPr="00000000" w14:paraId="0000018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eConsent for on-site or remote patient enrollment - Castor EDC, otwierano: stycznia 16, 2026, </w:t>
      </w:r>
      <w:hyperlink r:id="rId19">
        <w:r w:rsidDel="00000000" w:rsidR="00000000" w:rsidRPr="00000000">
          <w:rPr>
            <w:rFonts w:ascii="Google Sans" w:cs="Google Sans" w:eastAsia="Google Sans" w:hAnsi="Google Sans"/>
            <w:color w:val="0000ee"/>
            <w:sz w:val="24"/>
            <w:szCs w:val="24"/>
            <w:u w:val="single"/>
            <w:rtl w:val="0"/>
          </w:rPr>
          <w:t xml:space="preserve">https://www.castoredc.com/econsent/</w:t>
        </w:r>
      </w:hyperlink>
      <w:r w:rsidDel="00000000" w:rsidR="00000000" w:rsidRPr="00000000">
        <w:rPr>
          <w:rtl w:val="0"/>
        </w:rPr>
      </w:r>
    </w:p>
    <w:p w:rsidR="00000000" w:rsidDel="00000000" w:rsidP="00000000" w:rsidRDefault="00000000" w:rsidRPr="00000000" w14:paraId="0000018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21 CFR Part 11 Compliance - Advarra, otwierano: stycznia 16, 2026, </w:t>
      </w:r>
      <w:hyperlink r:id="rId20">
        <w:r w:rsidDel="00000000" w:rsidR="00000000" w:rsidRPr="00000000">
          <w:rPr>
            <w:rFonts w:ascii="Google Sans" w:cs="Google Sans" w:eastAsia="Google Sans" w:hAnsi="Google Sans"/>
            <w:color w:val="0000ee"/>
            <w:sz w:val="24"/>
            <w:szCs w:val="24"/>
            <w:u w:val="single"/>
            <w:rtl w:val="0"/>
          </w:rPr>
          <w:t xml:space="preserve">https://www.advarra.com/blog/beginners-guide-to-21-cfr-part-11-compliance/</w:t>
        </w:r>
      </w:hyperlink>
      <w:r w:rsidDel="00000000" w:rsidR="00000000" w:rsidRPr="00000000">
        <w:rPr>
          <w:rtl w:val="0"/>
        </w:rPr>
      </w:r>
    </w:p>
    <w:p w:rsidR="00000000" w:rsidDel="00000000" w:rsidP="00000000" w:rsidRDefault="00000000" w:rsidRPr="00000000" w14:paraId="0000018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Faster Database Lock in Clinical Trials with Reimagined Workflows - Medidata, otwierano: stycznia 16, 2026, </w:t>
      </w:r>
      <w:hyperlink r:id="rId21">
        <w:r w:rsidDel="00000000" w:rsidR="00000000" w:rsidRPr="00000000">
          <w:rPr>
            <w:rFonts w:ascii="Google Sans" w:cs="Google Sans" w:eastAsia="Google Sans" w:hAnsi="Google Sans"/>
            <w:color w:val="0000ee"/>
            <w:sz w:val="24"/>
            <w:szCs w:val="24"/>
            <w:u w:val="single"/>
            <w:rtl w:val="0"/>
          </w:rPr>
          <w:t xml:space="preserve">https://www.medidata.com/en/life-science-resources/medidata-blog/faster-clinical-trial-database-lock/</w:t>
        </w:r>
      </w:hyperlink>
      <w:r w:rsidDel="00000000" w:rsidR="00000000" w:rsidRPr="00000000">
        <w:rPr>
          <w:rtl w:val="0"/>
        </w:rPr>
      </w:r>
    </w:p>
    <w:p w:rsidR="00000000" w:rsidDel="00000000" w:rsidP="00000000" w:rsidRDefault="00000000" w:rsidRPr="00000000" w14:paraId="0000018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Informed Consent in Clinical Research | Medidata, otwierano: stycznia 16, 2026, </w:t>
      </w:r>
      <w:hyperlink r:id="rId22">
        <w:r w:rsidDel="00000000" w:rsidR="00000000" w:rsidRPr="00000000">
          <w:rPr>
            <w:rFonts w:ascii="Google Sans" w:cs="Google Sans" w:eastAsia="Google Sans" w:hAnsi="Google Sans"/>
            <w:color w:val="0000ee"/>
            <w:sz w:val="24"/>
            <w:szCs w:val="24"/>
            <w:u w:val="single"/>
            <w:rtl w:val="0"/>
          </w:rPr>
          <w:t xml:space="preserve">https://www.medidata.com/wp-content/uploads/2022/02/Electronic-Informed-Consent-in-Clinical-Research-White-Paper-Feb-22.pdf</w:t>
        </w:r>
      </w:hyperlink>
      <w:r w:rsidDel="00000000" w:rsidR="00000000" w:rsidRPr="00000000">
        <w:rPr>
          <w:rtl w:val="0"/>
        </w:rPr>
      </w:r>
    </w:p>
    <w:p w:rsidR="00000000" w:rsidDel="00000000" w:rsidP="00000000" w:rsidRDefault="00000000" w:rsidRPr="00000000" w14:paraId="0000018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Cosmetovigilance - AxeRegel, otwierano: stycznia 16, 2026, </w:t>
      </w:r>
      <w:hyperlink r:id="rId23">
        <w:r w:rsidDel="00000000" w:rsidR="00000000" w:rsidRPr="00000000">
          <w:rPr>
            <w:rFonts w:ascii="Google Sans" w:cs="Google Sans" w:eastAsia="Google Sans" w:hAnsi="Google Sans"/>
            <w:color w:val="0000ee"/>
            <w:sz w:val="24"/>
            <w:szCs w:val="24"/>
            <w:u w:val="single"/>
            <w:rtl w:val="0"/>
          </w:rPr>
          <w:t xml:space="preserve">https://www.axeregel.com/24/cosmetovigilance</w:t>
        </w:r>
      </w:hyperlink>
      <w:r w:rsidDel="00000000" w:rsidR="00000000" w:rsidRPr="00000000">
        <w:rPr>
          <w:rtl w:val="0"/>
        </w:rPr>
      </w:r>
    </w:p>
    <w:p w:rsidR="00000000" w:rsidDel="00000000" w:rsidP="00000000" w:rsidRDefault="00000000" w:rsidRPr="00000000" w14:paraId="0000018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SAE Reporting and the IRB: Adverse Events in Drug Studies - Advarra, otwierano: stycznia 16, 2026, </w:t>
      </w:r>
      <w:hyperlink r:id="rId24">
        <w:r w:rsidDel="00000000" w:rsidR="00000000" w:rsidRPr="00000000">
          <w:rPr>
            <w:rFonts w:ascii="Google Sans" w:cs="Google Sans" w:eastAsia="Google Sans" w:hAnsi="Google Sans"/>
            <w:color w:val="0000ee"/>
            <w:sz w:val="24"/>
            <w:szCs w:val="24"/>
            <w:u w:val="single"/>
            <w:rtl w:val="0"/>
          </w:rPr>
          <w:t xml:space="preserve">https://www.advarra.com/blog/reporting-to-the-irb-serious-adverse-events-saes-in-drug-studies/</w:t>
        </w:r>
      </w:hyperlink>
      <w:r w:rsidDel="00000000" w:rsidR="00000000" w:rsidRPr="00000000">
        <w:rPr>
          <w:rtl w:val="0"/>
        </w:rPr>
      </w:r>
    </w:p>
    <w:p w:rsidR="00000000" w:rsidDel="00000000" w:rsidP="00000000" w:rsidRDefault="00000000" w:rsidRPr="00000000" w14:paraId="0000018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on Use of Electronic Signatures in Research and Title 21 CFR Part 11 Compliance - upenn irb - University of Pennsylvania, otwierano: stycznia 16, 2026, </w:t>
      </w:r>
      <w:hyperlink r:id="rId25">
        <w:r w:rsidDel="00000000" w:rsidR="00000000" w:rsidRPr="00000000">
          <w:rPr>
            <w:rFonts w:ascii="Google Sans" w:cs="Google Sans" w:eastAsia="Google Sans" w:hAnsi="Google Sans"/>
            <w:color w:val="0000ee"/>
            <w:sz w:val="24"/>
            <w:szCs w:val="24"/>
            <w:u w:val="single"/>
            <w:rtl w:val="0"/>
          </w:rPr>
          <w:t xml:space="preserve">https://irb.upenn.edu/wp-content/uploads/2023/02/Guidance-on-Use-of-Electronic-Signatures-.pdf</w:t>
        </w:r>
      </w:hyperlink>
      <w:r w:rsidDel="00000000" w:rsidR="00000000" w:rsidRPr="00000000">
        <w:rPr>
          <w:rtl w:val="0"/>
        </w:rPr>
      </w:r>
    </w:p>
    <w:p w:rsidR="00000000" w:rsidDel="00000000" w:rsidP="00000000" w:rsidRDefault="00000000" w:rsidRPr="00000000" w14:paraId="0000018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SUE Reporting Guidelines - European Commission, otwierano: stycznia 16, 2026, </w:t>
      </w:r>
      <w:hyperlink r:id="rId26">
        <w:r w:rsidDel="00000000" w:rsidR="00000000" w:rsidRPr="00000000">
          <w:rPr>
            <w:rFonts w:ascii="Google Sans" w:cs="Google Sans" w:eastAsia="Google Sans" w:hAnsi="Google Sans"/>
            <w:color w:val="0000ee"/>
            <w:sz w:val="24"/>
            <w:szCs w:val="24"/>
            <w:u w:val="single"/>
            <w:rtl w:val="0"/>
          </w:rPr>
          <w:t xml:space="preserve">https://ec.europa.eu/docsroom/documents/34783/attachments/1/translations/en/renditions/native</w:t>
        </w:r>
      </w:hyperlink>
      <w:r w:rsidDel="00000000" w:rsidR="00000000" w:rsidRPr="00000000">
        <w:rPr>
          <w:rtl w:val="0"/>
        </w:rPr>
      </w:r>
    </w:p>
    <w:p w:rsidR="00000000" w:rsidDel="00000000" w:rsidP="00000000" w:rsidRDefault="00000000" w:rsidRPr="00000000" w14:paraId="0000018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Issues Updated Instructions for Serious Adverse Event Reporting for Cosmetic Products, otwierano: stycznia 16, 2026, </w:t>
      </w:r>
      <w:hyperlink r:id="rId27">
        <w:r w:rsidDel="00000000" w:rsidR="00000000" w:rsidRPr="00000000">
          <w:rPr>
            <w:rFonts w:ascii="Google Sans" w:cs="Google Sans" w:eastAsia="Google Sans" w:hAnsi="Google Sans"/>
            <w:color w:val="0000ee"/>
            <w:sz w:val="24"/>
            <w:szCs w:val="24"/>
            <w:u w:val="single"/>
            <w:rtl w:val="0"/>
          </w:rPr>
          <w:t xml:space="preserve">https://www.fda.gov/cosmetics/cosmetics-news-events/fda-issues-updated-instructions-serious-adverse-event-reporting-cosmetic-products</w:t>
        </w:r>
      </w:hyperlink>
      <w:r w:rsidDel="00000000" w:rsidR="00000000" w:rsidRPr="00000000">
        <w:rPr>
          <w:rtl w:val="0"/>
        </w:rPr>
      </w:r>
    </w:p>
    <w:p w:rsidR="00000000" w:rsidDel="00000000" w:rsidP="00000000" w:rsidRDefault="00000000" w:rsidRPr="00000000" w14:paraId="0000018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Reporting a side effect (or adverse reaction) for a cosmetic product - HPRA, otwierano: stycznia 16, 2026, </w:t>
      </w:r>
      <w:hyperlink r:id="rId28">
        <w:r w:rsidDel="00000000" w:rsidR="00000000" w:rsidRPr="00000000">
          <w:rPr>
            <w:rFonts w:ascii="Google Sans" w:cs="Google Sans" w:eastAsia="Google Sans" w:hAnsi="Google Sans"/>
            <w:color w:val="0000ee"/>
            <w:sz w:val="24"/>
            <w:szCs w:val="24"/>
            <w:u w:val="single"/>
            <w:rtl w:val="0"/>
          </w:rPr>
          <w:t xml:space="preserve">https://www.hpra.ie/safety-information/how-we-monitor-safety/cosmetics/reporting-a-side-effect</w:t>
        </w:r>
      </w:hyperlink>
      <w:r w:rsidDel="00000000" w:rsidR="00000000" w:rsidRPr="00000000">
        <w:rPr>
          <w:rtl w:val="0"/>
        </w:rPr>
      </w:r>
    </w:p>
    <w:p w:rsidR="00000000" w:rsidDel="00000000" w:rsidP="00000000" w:rsidRDefault="00000000" w:rsidRPr="00000000" w14:paraId="0000018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Adverse Event Reporting in Clinical Trials - CCRPS, otwierano: stycznia 16, 2026, </w:t>
      </w:r>
      <w:hyperlink r:id="rId29">
        <w:r w:rsidDel="00000000" w:rsidR="00000000" w:rsidRPr="00000000">
          <w:rPr>
            <w:rFonts w:ascii="Google Sans" w:cs="Google Sans" w:eastAsia="Google Sans" w:hAnsi="Google Sans"/>
            <w:color w:val="0000ee"/>
            <w:sz w:val="24"/>
            <w:szCs w:val="24"/>
            <w:u w:val="single"/>
            <w:rtl w:val="0"/>
          </w:rPr>
          <w:t xml:space="preserve">https://ccrps.org/clinical-research-blog/adverse-event-reporting-in-clinical-trials</w:t>
        </w:r>
      </w:hyperlink>
      <w:r w:rsidDel="00000000" w:rsidR="00000000" w:rsidRPr="00000000">
        <w:rPr>
          <w:rtl w:val="0"/>
        </w:rPr>
      </w:r>
    </w:p>
    <w:p w:rsidR="00000000" w:rsidDel="00000000" w:rsidP="00000000" w:rsidRDefault="00000000" w:rsidRPr="00000000" w14:paraId="0000018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(Serious) adverse events and SUSARs | The Central Committee on Research Involving Human Subjects, otwierano: stycznia 16, 2026, </w:t>
      </w:r>
      <w:hyperlink r:id="rId30">
        <w:r w:rsidDel="00000000" w:rsidR="00000000" w:rsidRPr="00000000">
          <w:rPr>
            <w:rFonts w:ascii="Google Sans" w:cs="Google Sans" w:eastAsia="Google Sans" w:hAnsi="Google Sans"/>
            <w:color w:val="0000ee"/>
            <w:sz w:val="24"/>
            <w:szCs w:val="24"/>
            <w:u w:val="single"/>
            <w:rtl w:val="0"/>
          </w:rPr>
          <w:t xml:space="preserve">https://english.ccmo.nl/investigators/clinical-trials-with-medicinal-products-ctr/conduct-of-study-ctr/safety-reporting/serious-adverse-events-and-susars</w:t>
        </w:r>
      </w:hyperlink>
      <w:r w:rsidDel="00000000" w:rsidR="00000000" w:rsidRPr="00000000">
        <w:rPr>
          <w:rtl w:val="0"/>
        </w:rPr>
      </w:r>
    </w:p>
    <w:p w:rsidR="00000000" w:rsidDel="00000000" w:rsidP="00000000" w:rsidRDefault="00000000" w:rsidRPr="00000000" w14:paraId="0000018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Reporting serious undesirable effects (SUE) caused by cosmetics | Finnish Safety and Chemicals Agency (Tukes), otwierano: stycznia 16, 2026, </w:t>
      </w:r>
      <w:hyperlink r:id="rId31">
        <w:r w:rsidDel="00000000" w:rsidR="00000000" w:rsidRPr="00000000">
          <w:rPr>
            <w:rFonts w:ascii="Google Sans" w:cs="Google Sans" w:eastAsia="Google Sans" w:hAnsi="Google Sans"/>
            <w:color w:val="0000ee"/>
            <w:sz w:val="24"/>
            <w:szCs w:val="24"/>
            <w:u w:val="single"/>
            <w:rtl w:val="0"/>
          </w:rPr>
          <w:t xml:space="preserve">https://tukes.fi/en/chemicals/cosmetics/reporting-serious-undesirable-effects-sue-caused-by-cosmetics</w:t>
        </w:r>
      </w:hyperlink>
      <w:r w:rsidDel="00000000" w:rsidR="00000000" w:rsidRPr="00000000">
        <w:rPr>
          <w:rtl w:val="0"/>
        </w:rPr>
      </w:r>
    </w:p>
    <w:p w:rsidR="00000000" w:rsidDel="00000000" w:rsidP="00000000" w:rsidRDefault="00000000" w:rsidRPr="00000000" w14:paraId="0000019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Exchange | CDISC, otwierano: stycznia 16, 2026, </w:t>
      </w:r>
      <w:hyperlink r:id="rId32">
        <w:r w:rsidDel="00000000" w:rsidR="00000000" w:rsidRPr="00000000">
          <w:rPr>
            <w:rFonts w:ascii="Google Sans" w:cs="Google Sans" w:eastAsia="Google Sans" w:hAnsi="Google Sans"/>
            <w:color w:val="0000ee"/>
            <w:sz w:val="24"/>
            <w:szCs w:val="24"/>
            <w:u w:val="single"/>
            <w:rtl w:val="0"/>
          </w:rPr>
          <w:t xml:space="preserve">https://www.cdisc.org/standards/data-exchange</w:t>
        </w:r>
      </w:hyperlink>
      <w:r w:rsidDel="00000000" w:rsidR="00000000" w:rsidRPr="00000000">
        <w:rPr>
          <w:rtl w:val="0"/>
        </w:rPr>
      </w:r>
    </w:p>
    <w:p w:rsidR="00000000" w:rsidDel="00000000" w:rsidP="00000000" w:rsidRDefault="00000000" w:rsidRPr="00000000" w14:paraId="0000019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 and Integrations for EDC and CTMS | Clinical Trials Management - Datacapt, otwierano: stycznia 16, 2026, </w:t>
      </w:r>
      <w:hyperlink r:id="rId33">
        <w:r w:rsidDel="00000000" w:rsidR="00000000" w:rsidRPr="00000000">
          <w:rPr>
            <w:rFonts w:ascii="Google Sans" w:cs="Google Sans" w:eastAsia="Google Sans" w:hAnsi="Google Sans"/>
            <w:color w:val="0000ee"/>
            <w:sz w:val="24"/>
            <w:szCs w:val="24"/>
            <w:u w:val="single"/>
            <w:rtl w:val="0"/>
          </w:rPr>
          <w:t xml:space="preserve">https://www.datacapt.com/products/api</w:t>
        </w:r>
      </w:hyperlink>
      <w:r w:rsidDel="00000000" w:rsidR="00000000" w:rsidRPr="00000000">
        <w:rPr>
          <w:rtl w:val="0"/>
        </w:rPr>
      </w:r>
    </w:p>
    <w:p w:rsidR="00000000" w:rsidDel="00000000" w:rsidP="00000000" w:rsidRDefault="00000000" w:rsidRPr="00000000" w14:paraId="0000019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EDC software solutions for clinical trials - Viedoc, otwierano: stycznia 16, 2026, </w:t>
      </w:r>
      <w:hyperlink r:id="rId34">
        <w:r w:rsidDel="00000000" w:rsidR="00000000" w:rsidRPr="00000000">
          <w:rPr>
            <w:rFonts w:ascii="Google Sans" w:cs="Google Sans" w:eastAsia="Google Sans" w:hAnsi="Google Sans"/>
            <w:color w:val="0000ee"/>
            <w:sz w:val="24"/>
            <w:szCs w:val="24"/>
            <w:u w:val="single"/>
            <w:rtl w:val="0"/>
          </w:rPr>
          <w:t xml:space="preserve">https://www.viedoc.com/blog/top-10-edc-software-for-clinical-trials</w:t>
        </w:r>
      </w:hyperlink>
      <w:r w:rsidDel="00000000" w:rsidR="00000000" w:rsidRPr="00000000">
        <w:rPr>
          <w:rtl w:val="0"/>
        </w:rPr>
      </w:r>
    </w:p>
    <w:p w:rsidR="00000000" w:rsidDel="00000000" w:rsidP="00000000" w:rsidRDefault="00000000" w:rsidRPr="00000000" w14:paraId="0000019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Electronic Data Capture (EDC) Systems for Clinical Trials in 2025 - CCRPS, otwierano: stycznia 16, 2026, </w:t>
      </w:r>
      <w:hyperlink r:id="rId35">
        <w:r w:rsidDel="00000000" w:rsidR="00000000" w:rsidRPr="00000000">
          <w:rPr>
            <w:rFonts w:ascii="Google Sans" w:cs="Google Sans" w:eastAsia="Google Sans" w:hAnsi="Google Sans"/>
            <w:color w:val="0000ee"/>
            <w:sz w:val="24"/>
            <w:szCs w:val="24"/>
            <w:u w:val="single"/>
            <w:rtl w:val="0"/>
          </w:rPr>
          <w:t xml:space="preserve">https://ccrps.org/clinical-research-blog/directory-of-electronic-data-capture-edc-systems-for-clinical-trials</w:t>
        </w:r>
      </w:hyperlink>
      <w:r w:rsidDel="00000000" w:rsidR="00000000" w:rsidRPr="00000000">
        <w:rPr>
          <w:rtl w:val="0"/>
        </w:rPr>
      </w:r>
    </w:p>
    <w:p w:rsidR="00000000" w:rsidDel="00000000" w:rsidP="00000000" w:rsidRDefault="00000000" w:rsidRPr="00000000" w14:paraId="0000019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eClinical Solutions | IRT | ePRO | eCOA - Premier Research, otwierano: stycznia 16, 2026, </w:t>
      </w:r>
      <w:hyperlink r:id="rId36">
        <w:r w:rsidDel="00000000" w:rsidR="00000000" w:rsidRPr="00000000">
          <w:rPr>
            <w:rFonts w:ascii="Google Sans" w:cs="Google Sans" w:eastAsia="Google Sans" w:hAnsi="Google Sans"/>
            <w:color w:val="0000ee"/>
            <w:sz w:val="24"/>
            <w:szCs w:val="24"/>
            <w:u w:val="single"/>
            <w:rtl w:val="0"/>
          </w:rPr>
          <w:t xml:space="preserve">https://premier-research.com/capabilities/technology/eclinical-solutions/</w:t>
        </w:r>
      </w:hyperlink>
      <w:r w:rsidDel="00000000" w:rsidR="00000000" w:rsidRPr="00000000">
        <w:rPr>
          <w:rtl w:val="0"/>
        </w:rPr>
      </w:r>
    </w:p>
    <w:p w:rsidR="00000000" w:rsidDel="00000000" w:rsidP="00000000" w:rsidRDefault="00000000" w:rsidRPr="00000000" w14:paraId="0000019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IRT in Clinical Trials: A Key to Efficient Study Management - Medidata, otwierano: stycznia 16, 2026, </w:t>
      </w:r>
      <w:hyperlink r:id="rId37">
        <w:r w:rsidDel="00000000" w:rsidR="00000000" w:rsidRPr="00000000">
          <w:rPr>
            <w:rFonts w:ascii="Google Sans" w:cs="Google Sans" w:eastAsia="Google Sans" w:hAnsi="Google Sans"/>
            <w:color w:val="0000ee"/>
            <w:sz w:val="24"/>
            <w:szCs w:val="24"/>
            <w:u w:val="single"/>
            <w:rtl w:val="0"/>
          </w:rPr>
          <w:t xml:space="preserve">https://www.medidata.com/en/life-science-resources/medidata-blog/interactive-response-technology-irt/</w:t>
        </w:r>
      </w:hyperlink>
      <w:r w:rsidDel="00000000" w:rsidR="00000000" w:rsidRPr="00000000">
        <w:rPr>
          <w:rtl w:val="0"/>
        </w:rPr>
      </w:r>
    </w:p>
    <w:p w:rsidR="00000000" w:rsidDel="00000000" w:rsidP="00000000" w:rsidRDefault="00000000" w:rsidRPr="00000000" w14:paraId="0000019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Florence eConsent | Electronic Informed Consent for Clinical Trials, otwierano: stycznia 16, 2026, </w:t>
      </w:r>
      <w:hyperlink r:id="rId38">
        <w:r w:rsidDel="00000000" w:rsidR="00000000" w:rsidRPr="00000000">
          <w:rPr>
            <w:rFonts w:ascii="Google Sans" w:cs="Google Sans" w:eastAsia="Google Sans" w:hAnsi="Google Sans"/>
            <w:color w:val="0000ee"/>
            <w:sz w:val="24"/>
            <w:szCs w:val="24"/>
            <w:u w:val="single"/>
            <w:rtl w:val="0"/>
          </w:rPr>
          <w:t xml:space="preserve">https://www.florencehc.com/products/econsent/</w:t>
        </w:r>
      </w:hyperlink>
      <w:r w:rsidDel="00000000" w:rsidR="00000000" w:rsidRPr="00000000">
        <w:rPr>
          <w:rtl w:val="0"/>
        </w:rPr>
      </w:r>
    </w:p>
    <w:p w:rsidR="00000000" w:rsidDel="00000000" w:rsidP="00000000" w:rsidRDefault="00000000" w:rsidRPr="00000000" w14:paraId="0000019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 data protection and clincial trials_for consulation final - Public Health - European Commission, otwierano: stycznia 16, 2026, </w:t>
      </w:r>
      <w:hyperlink r:id="rId39">
        <w:r w:rsidDel="00000000" w:rsidR="00000000" w:rsidRPr="00000000">
          <w:rPr>
            <w:rFonts w:ascii="Google Sans" w:cs="Google Sans" w:eastAsia="Google Sans" w:hAnsi="Google Sans"/>
            <w:color w:val="0000ee"/>
            <w:sz w:val="24"/>
            <w:szCs w:val="24"/>
            <w:u w:val="single"/>
            <w:rtl w:val="0"/>
          </w:rPr>
          <w:t xml:space="preserve">https://health.ec.europa.eu/document/download/c3042973-b36d-4094-a1fb-a6fc980f065e_en</w:t>
        </w:r>
      </w:hyperlink>
      <w:r w:rsidDel="00000000" w:rsidR="00000000" w:rsidRPr="00000000">
        <w:rPr>
          <w:rtl w:val="0"/>
        </w:rPr>
      </w:r>
    </w:p>
    <w:p w:rsidR="00000000" w:rsidDel="00000000" w:rsidP="00000000" w:rsidRDefault="00000000" w:rsidRPr="00000000" w14:paraId="0000019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Trials Under the GDPR: What Should Sponsors Consider? - Latham &amp; Watkins LLP, otwierano: stycznia 16, 2026, </w:t>
      </w:r>
      <w:hyperlink r:id="rId40">
        <w:r w:rsidDel="00000000" w:rsidR="00000000" w:rsidRPr="00000000">
          <w:rPr>
            <w:rFonts w:ascii="Google Sans" w:cs="Google Sans" w:eastAsia="Google Sans" w:hAnsi="Google Sans"/>
            <w:color w:val="0000ee"/>
            <w:sz w:val="24"/>
            <w:szCs w:val="24"/>
            <w:u w:val="single"/>
            <w:rtl w:val="0"/>
          </w:rPr>
          <w:t xml:space="preserve">https://www.lw.com/admin/upload/SiteAttachments/Frances%20Stocks%20Allen%20and%20Gail%20Crawford%20-%20PLJ%20Clinical%20trials.pdf</w:t>
        </w:r>
      </w:hyperlink>
      <w:r w:rsidDel="00000000" w:rsidR="00000000" w:rsidRPr="00000000">
        <w:rPr>
          <w:rtl w:val="0"/>
        </w:rPr>
      </w:r>
    </w:p>
    <w:p w:rsidR="00000000" w:rsidDel="00000000" w:rsidP="00000000" w:rsidRDefault="00000000" w:rsidRPr="00000000" w14:paraId="0000019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Part 11 -- Electronic Records; Electronic Signatures - eCFR, otwierano: stycznia 16, 2026, </w:t>
      </w:r>
      <w:hyperlink r:id="rId41">
        <w:r w:rsidDel="00000000" w:rsidR="00000000" w:rsidRPr="00000000">
          <w:rPr>
            <w:rFonts w:ascii="Google Sans" w:cs="Google Sans" w:eastAsia="Google Sans" w:hAnsi="Google Sans"/>
            <w:color w:val="0000ee"/>
            <w:sz w:val="24"/>
            <w:szCs w:val="24"/>
            <w:u w:val="single"/>
            <w:rtl w:val="0"/>
          </w:rPr>
          <w:t xml:space="preserve">https://www.ecfr.gov/current/title-21/chapter-I/subchapter-A/part-11</w:t>
        </w:r>
      </w:hyperlink>
      <w:r w:rsidDel="00000000" w:rsidR="00000000" w:rsidRPr="00000000">
        <w:rPr>
          <w:rtl w:val="0"/>
        </w:rPr>
      </w:r>
    </w:p>
    <w:p w:rsidR="00000000" w:rsidDel="00000000" w:rsidP="00000000" w:rsidRDefault="00000000" w:rsidRPr="00000000" w14:paraId="0000019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the GDPR on clinical trial research - Norton Rose Fulbright, otwierano: stycznia 16, 2026, </w:t>
      </w:r>
      <w:hyperlink r:id="rId42">
        <w:r w:rsidDel="00000000" w:rsidR="00000000" w:rsidRPr="00000000">
          <w:rPr>
            <w:rFonts w:ascii="Google Sans" w:cs="Google Sans" w:eastAsia="Google Sans" w:hAnsi="Google Sans"/>
            <w:color w:val="0000ee"/>
            <w:sz w:val="24"/>
            <w:szCs w:val="24"/>
            <w:u w:val="single"/>
            <w:rtl w:val="0"/>
          </w:rPr>
          <w:t xml:space="preserve">https://www.nortonrosefulbright.com/en-ca/knowledge/publications/9ba711e7/the-impact-of-the-gdpr-on-clinical-trial-research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w.com/admin/upload/SiteAttachments/Frances%20Stocks%20Allen%20and%20Gail%20Crawford%20-%20PLJ%20Clinical%20trials.pdf" TargetMode="External"/><Relationship Id="rId20" Type="http://schemas.openxmlformats.org/officeDocument/2006/relationships/hyperlink" Target="https://www.advarra.com/blog/beginners-guide-to-21-cfr-part-11-compliance/" TargetMode="External"/><Relationship Id="rId42" Type="http://schemas.openxmlformats.org/officeDocument/2006/relationships/hyperlink" Target="https://www.nortonrosefulbright.com/en-ca/knowledge/publications/9ba711e7/the-impact-of-the-gdpr-on-clinical-trial-research" TargetMode="External"/><Relationship Id="rId41" Type="http://schemas.openxmlformats.org/officeDocument/2006/relationships/hyperlink" Target="https://www.ecfr.gov/current/title-21/chapter-I/subchapter-A/part-11" TargetMode="External"/><Relationship Id="rId22" Type="http://schemas.openxmlformats.org/officeDocument/2006/relationships/hyperlink" Target="https://www.medidata.com/wp-content/uploads/2022/02/Electronic-Informed-Consent-in-Clinical-Research-White-Paper-Feb-22.pdf" TargetMode="External"/><Relationship Id="rId21" Type="http://schemas.openxmlformats.org/officeDocument/2006/relationships/hyperlink" Target="https://www.medidata.com/en/life-science-resources/medidata-blog/faster-clinical-trial-database-lock/" TargetMode="External"/><Relationship Id="rId24" Type="http://schemas.openxmlformats.org/officeDocument/2006/relationships/hyperlink" Target="https://www.advarra.com/blog/reporting-to-the-irb-serious-adverse-events-saes-in-drug-studies/" TargetMode="External"/><Relationship Id="rId23" Type="http://schemas.openxmlformats.org/officeDocument/2006/relationships/hyperlink" Target="https://www.axeregel.com/24/cosmetovigil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097692/" TargetMode="External"/><Relationship Id="rId26" Type="http://schemas.openxmlformats.org/officeDocument/2006/relationships/hyperlink" Target="https://ec.europa.eu/docsroom/documents/34783/attachments/1/translations/en/renditions/native" TargetMode="External"/><Relationship Id="rId25" Type="http://schemas.openxmlformats.org/officeDocument/2006/relationships/hyperlink" Target="https://irb.upenn.edu/wp-content/uploads/2023/02/Guidance-on-Use-of-Electronic-Signatures-.pdf" TargetMode="External"/><Relationship Id="rId28" Type="http://schemas.openxmlformats.org/officeDocument/2006/relationships/hyperlink" Target="https://www.hpra.ie/safety-information/how-we-monitor-safety/cosmetics/reporting-a-side-effect" TargetMode="External"/><Relationship Id="rId27" Type="http://schemas.openxmlformats.org/officeDocument/2006/relationships/hyperlink" Target="https://www.fda.gov/cosmetics/cosmetics-news-events/fda-issues-updated-instructions-serious-adverse-event-reporting-cosmetic-products" TargetMode="External"/><Relationship Id="rId5" Type="http://schemas.openxmlformats.org/officeDocument/2006/relationships/styles" Target="styles.xml"/><Relationship Id="rId6" Type="http://schemas.openxmlformats.org/officeDocument/2006/relationships/hyperlink" Target="https://www.citruslabs.com/post/what-is-good-clinical-practice-gcp-and-why-does-it-matter-in-clinical-trials" TargetMode="External"/><Relationship Id="rId29" Type="http://schemas.openxmlformats.org/officeDocument/2006/relationships/hyperlink" Target="https://ccrps.org/clinical-research-blog/adverse-event-reporting-in-clinical-trials" TargetMode="External"/><Relationship Id="rId7" Type="http://schemas.openxmlformats.org/officeDocument/2006/relationships/hyperlink" Target="https://pmc.ncbi.nlm.nih.gov/articles/PMC3699935/" TargetMode="External"/><Relationship Id="rId8" Type="http://schemas.openxmlformats.org/officeDocument/2006/relationships/hyperlink" Target="https://www.fda.gov/regulatory-information/search-fda-guidance-documents/e6r3-good-clinical-practice-gcp" TargetMode="External"/><Relationship Id="rId31" Type="http://schemas.openxmlformats.org/officeDocument/2006/relationships/hyperlink" Target="https://tukes.fi/en/chemicals/cosmetics/reporting-serious-undesirable-effects-sue-caused-by-cosmetics" TargetMode="External"/><Relationship Id="rId30" Type="http://schemas.openxmlformats.org/officeDocument/2006/relationships/hyperlink" Target="https://english.ccmo.nl/investigators/clinical-trials-with-medicinal-products-ctr/conduct-of-study-ctr/safety-reporting/serious-adverse-events-and-susars" TargetMode="External"/><Relationship Id="rId11" Type="http://schemas.openxmlformats.org/officeDocument/2006/relationships/hyperlink" Target="https://tfscro.com/resources/5-effective-patient-recruitment-strategies-for-dermatology-clinical-trials/" TargetMode="External"/><Relationship Id="rId33" Type="http://schemas.openxmlformats.org/officeDocument/2006/relationships/hyperlink" Target="https://www.datacapt.com/products/api" TargetMode="External"/><Relationship Id="rId10" Type="http://schemas.openxmlformats.org/officeDocument/2006/relationships/hyperlink" Target="https://www.veeva.com/resources/industry-survey-reveals-clinical-data-management-delays-slow-trial-completion/" TargetMode="External"/><Relationship Id="rId32" Type="http://schemas.openxmlformats.org/officeDocument/2006/relationships/hyperlink" Target="https://www.cdisc.org/standards/data-exchange" TargetMode="External"/><Relationship Id="rId13" Type="http://schemas.openxmlformats.org/officeDocument/2006/relationships/hyperlink" Target="https://www.crucialdatasolutions.com/blog/econsent-and-edc/" TargetMode="External"/><Relationship Id="rId35" Type="http://schemas.openxmlformats.org/officeDocument/2006/relationships/hyperlink" Target="https://ccrps.org/clinical-research-blog/directory-of-electronic-data-capture-edc-systems-for-clinical-trials" TargetMode="External"/><Relationship Id="rId12" Type="http://schemas.openxmlformats.org/officeDocument/2006/relationships/hyperlink" Target="https://pmc.ncbi.nlm.nih.gov/articles/PMC9321424/" TargetMode="External"/><Relationship Id="rId34" Type="http://schemas.openxmlformats.org/officeDocument/2006/relationships/hyperlink" Target="https://www.viedoc.com/blog/top-10-edc-software-for-clinical-trials" TargetMode="External"/><Relationship Id="rId15" Type="http://schemas.openxmlformats.org/officeDocument/2006/relationships/hyperlink" Target="https://www.endpointclinical.com/insights/integrations-without-the-headaches-what-it-really-takes-to-make-systems-work-together-in-clinical-trials" TargetMode="External"/><Relationship Id="rId37" Type="http://schemas.openxmlformats.org/officeDocument/2006/relationships/hyperlink" Target="https://www.medidata.com/en/life-science-resources/medidata-blog/interactive-response-technology-irt/" TargetMode="External"/><Relationship Id="rId14" Type="http://schemas.openxmlformats.org/officeDocument/2006/relationships/hyperlink" Target="https://www.suvoda.com/thank-you-the-benefits-of-a-seamless-irt-and-edc-integration-in-clinical-trial-execution" TargetMode="External"/><Relationship Id="rId36" Type="http://schemas.openxmlformats.org/officeDocument/2006/relationships/hyperlink" Target="https://premier-research.com/capabilities/technology/eclinical-solutions/" TargetMode="External"/><Relationship Id="rId17" Type="http://schemas.openxmlformats.org/officeDocument/2006/relationships/hyperlink" Target="https://irb.ucsf.edu/gdpr" TargetMode="External"/><Relationship Id="rId39" Type="http://schemas.openxmlformats.org/officeDocument/2006/relationships/hyperlink" Target="https://health.ec.europa.eu/document/download/c3042973-b36d-4094-a1fb-a6fc980f065e_en" TargetMode="External"/><Relationship Id="rId16" Type="http://schemas.openxmlformats.org/officeDocument/2006/relationships/hyperlink" Target="https://www.greenlight.guru/blog/tips-ensure-clinical-data-complies-with-fda-21-cfr-part-11" TargetMode="External"/><Relationship Id="rId38" Type="http://schemas.openxmlformats.org/officeDocument/2006/relationships/hyperlink" Target="https://www.florencehc.com/products/econsent/" TargetMode="External"/><Relationship Id="rId19" Type="http://schemas.openxmlformats.org/officeDocument/2006/relationships/hyperlink" Target="https://www.castoredc.com/econsent/" TargetMode="External"/><Relationship Id="rId18" Type="http://schemas.openxmlformats.org/officeDocument/2006/relationships/hyperlink" Target="https://www.castoredc.com/insight-briefs/decentralized-clinical-trial-platforms-in-2025-a-practical-guide-for-clinical-oper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