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Raport Architektury Korporacyjnej: Transformacja Cyfrowa Ekosystemu Produkcji Statków Lotniczych (Zadanie 2)</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Kontekst Biznesowy i Operacyjny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Wprowadzenie do Domeny i Uwarunkowania Rynkowe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Współczesny przemysł lotniczy i obronny (Aerospace &amp; Defense - A&amp;D) funkcjonuje w środowisku o niespotykanej w innych sektorach presji na jakość, niezawodność i pełną zgodność regulacyjną. Produkcja statków powietrznych to proces charakteryzujący się ekstremalną złożonością inżynieryjną, długimi cyklami życia produktu (często przekraczającymi 30-40 lat od momentu certyfikacji do wycofania z eksploatacji) oraz rygorystycznymi wymogami narzucanymi przez organy nadzoru, takie jak EASA (European Union Aviation Safety Agency) w Europie czy FAA (Federal Aviation Administration) w Stanach Zjednoczonych. W kontekście analizowanego "Zadania 2: Produkcja statków lotniczych", organizacja staje przed wyzwaniem fundamentalnej redefinicji swoich procesów operacyjnych poprzez wdrożenie koncepcji "Digital Thread" (Cyfrowej Nici) oraz "Digital Twin" (Cyfrowego Bliźniaka), co jest odpowiedzią na rosnące wymagania w zakresie "Time-to-Market" oraz efektywności kosztowej.</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Tradycyjny model produkcji lotniczej, oparty na silosowych systemach inżynieryjnych (CAD/CAE), zarządzania cyklem życia produktu (PLM) oraz wykonania produkcji (MES), staje się niewystarczający w obliczu rosnącej dynamiki zmian inżynieryjnych (Engineering Change Request/Order - ECR/ECO) oraz konieczności precyzyjnego zarządzania kosztami niezgodności (Non-Conformance Cost - NCC). Obecny stan wiedzy i praktyki rynkowe wskazują, że brak ścisłej integracji między tymi domenami prowadzi do powstawania „wysp danych”, co skutkuje ręcznym przepisywaniem informacji, błędami w translacji struktur materiałowych z inżynieryjnych (eBOM) na produkcyjne (mBOM) oraz utratą ciągłości identyfikowalności (traceability), która jest krytyczna dla utrzymania certyfikacji typu i zdatności do lotu (airworthiness).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 dobie transformacji w kierunku Przemysłu 4.0 (Industry 4.0), cyfryzacja w lotnictwie przestaje być jedynie mechanizmem optymalizacji kosztów operacyjnych, a staje się warunkiem </w:t>
      </w:r>
      <w:r w:rsidDel="00000000" w:rsidR="00000000" w:rsidRPr="00000000">
        <w:rPr>
          <w:rFonts w:ascii="Google Sans Text" w:cs="Google Sans Text" w:eastAsia="Google Sans Text" w:hAnsi="Google Sans Text"/>
          <w:i w:val="1"/>
          <w:iCs w:val="1"/>
          <w:color w:val="1f1f1f"/>
          <w:rtl w:val="0"/>
        </w:rPr>
        <w:t xml:space="preserve">sine qua non</w:t>
      </w:r>
      <w:r w:rsidDel="00000000" w:rsidR="00000000" w:rsidRPr="00000000">
        <w:rPr>
          <w:rFonts w:ascii="Google Sans Text" w:cs="Google Sans Text" w:eastAsia="Google Sans Text" w:hAnsi="Google Sans Text"/>
          <w:color w:val="1f1f1f"/>
          <w:rtl w:val="0"/>
        </w:rPr>
        <w:t xml:space="preserve"> dla utrzymania licencji na działalność. Organizacje muszą ewoluować od dokumentacji papierowej i statycznych plików PDF w kierunku modeli opartych na danych (Model-Based Enterprise - MBE), gdzie każda decyzja inżynieryjna, każda zmiana w procesie technologicznym czy wynik inspekcji NDT (Non-Destructive Testing) jest natychmiast dostępna dla wszystkich uprawnionych interesariuszy w całym łańcuchu wartości. Projekt ten ma na celu zintegrowanie systemów PLM, MES i CAD w jedną spójną architekturę korporacyjną, umożliwiającą płynny, dwukierunkowy przepływ informacji od deski kreślarskiej, przez halę produkcyjną, aż po obsługę posprzedażową i serwis (MRO - Maintenance, Repair, and Operations).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Kluczowym aspektem tej transformacji jest eliminacja ryzyka operacyjnego związanego z niespójnością danych. W obecnym modelu, inżynierowie konstruktorzy często pracują w oderwaniu od realiów produkcyjnych, co prowadzi do generowania projektów trudnych lub niemożliwych do wykonania (unmanufacturable designs), podczas gdy personel produkcyjny boryka się z brakiem aktualnej dokumentacji na stanowiskach roboczych. Wdrożenie zintegrowanej platformy pozwoli na realizację paradygmatu „Design Anywhere, Build Anywhere”, zapewniając, że każda fabryka w rozproszonym łańcuchu dostaw operuje na tej samej, zatwierdzonej konfiguracji produktu.</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Cele Strategiczne i Wskaźniki Sukcesu</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Zgodnie z wymaganiami projektowymi zdefiniowanymi w dokumentacji zadania oraz najlepszymi praktykami branżowymi, nadrzędnym celem transformacji jest osiągnięcie wymiernych, długofalowych korzyści w dwóch krytycznych obszarach operacyjnych: zarządzaniu zmianą inżynieryjną oraz obsłudze niezgodności jakościowych. Organizacja zdefiniowała agresywne cele KPI (Key Performance Indicators), które wymuszają radykalną przebudowę architektury IT/OT (Information Technology / Operational Technology) oraz procesów biznesowych. Poniższa tabela przedstawia szczegółową dekompozycję celów biznesowych na wskaźniki sukcesu oraz ich uzasadnienie architektoniczne.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Cel Biznesowy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Wskaźnik Sukcesu (KPI)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Uzasadnienie Architektoniczne i Biznesowe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Optymalizacja Procesu Zarządzania Zmianą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Skrócenie cyklu ECR/ECO o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Obecny proces wprowadzania zmian inżynieryjnych jest hamowany przez manualną, asynchroniczną synchronizację między systemem PLM (gdzie powstaje eBOM) a systemem MES (gdzie operuje mBOM/BoP). Integracja tych systemów pozwoli na automatyczną propagację zmian konstrukcyjnych bezpośrednio do instrukcji roboczych i programów CNC, eliminując opóźnienia wynikające z fizycznego obiegu dokumentacji, konieczności ręcznej walidacji oraz ryzyka pracy na nieaktualnych rewizjach.</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Redukcja Kosztów Jakości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Obniżenie kosztu Non-Conformance (NCR) o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Koszty niezgodności w lotnictwie są generowane nie tylko przez sam brak jakości (scrap/rework), ale przede wszystkim przez czasochłonny proces analizy inżynierskiej i decyzyjnej w ramach Rady Przeglądu Materiałowego (MRB). Wdrożenie Cyfrowego Bliźniaka oraz integracja wyników NDT z modelem CAD w PLM pozwoli na szybszą analizę wpływu wady na wytrzymałość strukturalną (np. poprzez symulacje FEA na klastrze HPC), co dramatycznie przyspieszy decyzje o dopuszczeniu warunkowym lub naprawie, redukując czas przestoju produkcji.</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Pełna Identyfikowalność i Certyfikacja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100% Traceability (Genealogia Elementów)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Zdolność do odtworzenia pełnej historii powstawania każdego elementu krytycznego (Critical Safety Item - CSI), od wytopu materiału, przez parametry obróbki cieplnej, po wyniki badań nieniszczących, jest bezwzględnym wymogiem normy AS9100 Rev D. Automatyzacja zbierania danych w MES i ich trwała asocjacja z numerem seryjnym w PLM jest niezbędna do uniknięcia ryzyka utraty certyfikacji lub uziemienia floty (AOG - Aircraft on Ground) w przypadku wykrycia wady systemowej.</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Spójność Konfiguracji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Eliminacja błędów translacji BOM (0 błędów)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Automatyczna transformacja Engineering BOM (eBOM) na Manufacturing BOM (mBOM) i Bill of Process (BoP) zapewnia, że produkcja realizowana jest zawsze w oparciu o aktualną, zatwierdzoną rewizję dokumentacji. Ręczne przepisywanie tych struktur jest głównym źródłem błędów konfiguracyjnych, które mogą prowadzić do katastrofalnych skutków w eksploatacji.</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Efektywność Inżynierii Produkcji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Redukcja czasu przygotowania produkcji o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Dzięki zastosowaniu podejścia Model-Based Definition (MBD), inżynierowie produkcji nie muszą odtwarzać geometrii 3D na podstawie rysunków 2D. Wykorzystanie standardu STEP AP242 z informacjami PMI (Product Manufacturing Information) pozwala na bezpośrednie programowanie maszyn CMM i CNC, co znacząco skraca fazę uprzemysłowienia nowego wyrobu (NPI - New Product Introduction).</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Realizacja powyższych celów wymaga fundamentalnego odejścia od podejścia zorientowanego na dokumenty na rzecz podejścia zorientowanego na dane (Data-Centric), gdzie „jedna prawda o danych” (Single Source of Truth - SSOT) znajduje się w systemie PLM, a systemy wykonawcze (MES, QMS) oraz analityczne (HPC) są jej konsumentami i dostarczycielami danych zwrotnych w czasie rzeczywistym.</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Zakres Modelowania i Granice Systemu</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Projekt transformacji obejmuje szeroki zakres procesów inżynieryjnych, produkcyjnych, jakościowych i certyfikacyjnych, zdefiniowanych w zadaniu jako kluczowe dla pełnego cyklu życia statku powietrznego. Granice systemu zostały wyznaczone w sposób holistyczny, obejmując zarówno fazę wirtualną (projektowanie i symulacja), jak i fizyczną (produkcja, montaż i kontrola).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Procesy Główne (Core Processes):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Inżynieria i Konstrukcja (CAD/CAE):</w:t>
      </w:r>
      <w:r w:rsidDel="00000000" w:rsidR="00000000" w:rsidRPr="00000000">
        <w:rPr>
          <w:rFonts w:ascii="Google Sans Text" w:cs="Google Sans Text" w:eastAsia="Google Sans Text" w:hAnsi="Google Sans Text"/>
          <w:color w:val="1f1f1f"/>
          <w:rtl w:val="0"/>
        </w:rPr>
        <w:t xml:space="preserve"> Proces tworzenia modeli geometrycznych 3D, definicja wymagań funkcjonalnych, oraz zaawansowane symulacje wytrzymałościowe (FEM/FEA) i aerodynamiczne (CFD). To tutaj powstaje pierwotna definicja produktu (Product Definition), która stanowi bazę dla wszystkich dalszych działań.</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Zarządzanie Cyklem Życia (PLM):</w:t>
      </w:r>
      <w:r w:rsidDel="00000000" w:rsidR="00000000" w:rsidRPr="00000000">
        <w:rPr>
          <w:rFonts w:ascii="Google Sans Text" w:cs="Google Sans Text" w:eastAsia="Google Sans Text" w:hAnsi="Google Sans Text"/>
          <w:color w:val="1f1f1f"/>
          <w:rtl w:val="0"/>
        </w:rPr>
        <w:t xml:space="preserve"> Centralny proces zarządzania konfiguracją, strukturami materiałowymi (eBOM), zarządzanie procesem zmiany (ECR/ECO/ECN) oraz definicja procesu technologicznego (BoP). System PLM pełni rolę repozytorium wiedzy technicznej i strażnika spójności danych.</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Wykonanie Produkcji (MES):</w:t>
      </w:r>
      <w:r w:rsidDel="00000000" w:rsidR="00000000" w:rsidRPr="00000000">
        <w:rPr>
          <w:rFonts w:ascii="Google Sans Text" w:cs="Google Sans Text" w:eastAsia="Google Sans Text" w:hAnsi="Google Sans Text"/>
          <w:color w:val="1f1f1f"/>
          <w:rtl w:val="0"/>
        </w:rPr>
        <w:t xml:space="preserve"> Fizyczna realizacja zleceń produkcyjnych na hali, monitorowanie pracy maszyn CNC, montaż struktur lotniczych, raportowanie postępu prac, zużycia materiałów oraz czasu pracy operatorów. MES stanowi most między planowaniem a wykonaniem.</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Kontrola Jakości (Quality Assurance/Control):</w:t>
      </w:r>
      <w:r w:rsidDel="00000000" w:rsidR="00000000" w:rsidRPr="00000000">
        <w:rPr>
          <w:rFonts w:ascii="Google Sans Text" w:cs="Google Sans Text" w:eastAsia="Google Sans Text" w:hAnsi="Google Sans Text"/>
          <w:color w:val="1f1f1f"/>
          <w:rtl w:val="0"/>
        </w:rPr>
        <w:t xml:space="preserve"> Obejmuje inspekcje wizualne, zaawansowane badania nieniszczące (NDT - np. ultradźwięki Phased Array, radiografia cyfrowa, tomografia komputerowa), pomiary współrzędnościowe (CMM), obsługę niezgodności (Non-conformance handling) oraz skomplikowane procesy decyzyjne w ramach Rady Przeglądu Materiałowego (MRB).</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Procesy Wspierające (Support Processes):</w:t>
      </w:r>
    </w:p>
    <w:p w:rsidR="00000000" w:rsidDel="00000000" w:rsidP="00000000" w:rsidRDefault="00000000" w:rsidRPr="00000000" w14:paraId="00000026">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Certyfikacja i Audyt:</w:t>
      </w:r>
      <w:r w:rsidDel="00000000" w:rsidR="00000000" w:rsidRPr="00000000">
        <w:rPr>
          <w:rFonts w:ascii="Google Sans Text" w:cs="Google Sans Text" w:eastAsia="Google Sans Text" w:hAnsi="Google Sans Text"/>
          <w:color w:val="1f1f1f"/>
          <w:rtl w:val="0"/>
        </w:rPr>
        <w:t xml:space="preserve"> Zapewnienie ciągłej zgodności z wymogami nadzoru lotniczego, generowanie dokumentacji powykonawczej (np. EASA Form 1), zarządzanie audytami wewnętrznymi i zewnętrznymi.</w:t>
      </w:r>
    </w:p>
    <w:p w:rsidR="00000000" w:rsidDel="00000000" w:rsidP="00000000" w:rsidRDefault="00000000" w:rsidRPr="00000000" w14:paraId="0000002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Utrzymanie Ruchu (MRO - Maintenance, Repair, Operations):</w:t>
      </w:r>
      <w:r w:rsidDel="00000000" w:rsidR="00000000" w:rsidRPr="00000000">
        <w:rPr>
          <w:rFonts w:ascii="Google Sans Text" w:cs="Google Sans Text" w:eastAsia="Google Sans Text" w:hAnsi="Google Sans Text"/>
          <w:color w:val="1f1f1f"/>
          <w:rtl w:val="0"/>
        </w:rPr>
        <w:t xml:space="preserve"> Choć główny nacisk w projekcie położony jest na produkcję (OEM), dane z produkcji (As-Built) stanowią krytyczny wsad do procesów serwisowych (As-Maintained). Cyfrowy Bliźniak utworzony na etapie produkcji jest przekazywany do operatora lub centrum serwisowego w celu optymalizacji obsługi technicznej.</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 zakresu bezpośredniego modelowania technicznego wyłączone są procesy czysto finansowe (fakturowanie, płace), HR (poza zarządzaniem matrycą kompetencji operatorów do zadań specjalnych, co jest wymogiem AS9100), oraz logistyka zewnętrzna, chyba że dotyczy bezpośrednio dostaw Just-in-Time na linię montażu końcowego (FAL - Final Assembly Line).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Analiza Interesariuszy (Stakeholders Analysis)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Dogłębne zrozumienie potrzeb, problemów i perspektywy kluczowych aktorów jest fundamentalne dla zaprojektowania skutecznej i akceptowalnej przez użytkowników architektury. W przemyśle lotniczym, gdzie błąd może kosztować życie pasażerów, rola czynnika ludzkiego i odpowiedniego wsparcia systemowego jest krytyczna.</w:t>
      </w:r>
    </w:p>
    <w:p w:rsidR="00000000" w:rsidDel="00000000" w:rsidP="00000000" w:rsidRDefault="00000000" w:rsidRPr="00000000" w14:paraId="0000002B">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Inżynier Konstruktor (Design Engineer):</w:t>
      </w:r>
    </w:p>
    <w:p w:rsidR="00000000" w:rsidDel="00000000" w:rsidP="00000000" w:rsidRDefault="00000000" w:rsidRPr="00000000" w14:paraId="0000002C">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Rola:</w:t>
      </w:r>
      <w:r w:rsidDel="00000000" w:rsidR="00000000" w:rsidRPr="00000000">
        <w:rPr>
          <w:rFonts w:ascii="Google Sans Text" w:cs="Google Sans Text" w:eastAsia="Google Sans Text" w:hAnsi="Google Sans Text"/>
          <w:color w:val="1f1f1f"/>
          <w:rtl w:val="0"/>
        </w:rPr>
        <w:t xml:space="preserve"> Odpowiada za definicję produktu, analizy wytrzymałościowe, dobór materiałów i inicjowanie zmian konstrukcyjnych.</w:t>
      </w:r>
    </w:p>
    <w:p w:rsidR="00000000" w:rsidDel="00000000" w:rsidP="00000000" w:rsidRDefault="00000000" w:rsidRPr="00000000" w14:paraId="0000002D">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Problem (Pain Point):</w:t>
      </w:r>
      <w:r w:rsidDel="00000000" w:rsidR="00000000" w:rsidRPr="00000000">
        <w:rPr>
          <w:rFonts w:ascii="Google Sans Text" w:cs="Google Sans Text" w:eastAsia="Google Sans Text" w:hAnsi="Google Sans Text"/>
          <w:color w:val="1f1f1f"/>
          <w:rtl w:val="0"/>
        </w:rPr>
        <w:t xml:space="preserve"> Brak wiedzy o tym, jak zmiany w projekcie wpływają na procesy produkcyjne ("rzucanie projektu przez płot"). Częste odrzucenia zmian przez dział produkcji z powodu niemożności wykonania (unmanufacturable design) lub wysokich kosztów oprzyrządowania.</w:t>
      </w:r>
    </w:p>
    <w:p w:rsidR="00000000" w:rsidDel="00000000" w:rsidP="00000000" w:rsidRDefault="00000000" w:rsidRPr="00000000" w14:paraId="0000002E">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Oczekiwanie:</w:t>
      </w:r>
      <w:r w:rsidDel="00000000" w:rsidR="00000000" w:rsidRPr="00000000">
        <w:rPr>
          <w:rFonts w:ascii="Google Sans Text" w:cs="Google Sans Text" w:eastAsia="Google Sans Text" w:hAnsi="Google Sans Text"/>
          <w:color w:val="1f1f1f"/>
          <w:rtl w:val="0"/>
        </w:rPr>
        <w:t xml:space="preserve"> Pełny wgląd w dane produkcyjne i ograniczenia maszynowe już na etapie projektowania (Design for Manufacturing - DfM) oraz szybka pętla zwrotna z produkcji (Feedback Loop) dotycząca problemów montażowych.</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2F">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Kierownik Produkcji (Production Manager):</w:t>
      </w:r>
    </w:p>
    <w:p w:rsidR="00000000" w:rsidDel="00000000" w:rsidP="00000000" w:rsidRDefault="00000000" w:rsidRPr="00000000" w14:paraId="00000030">
      <w:pPr>
        <w:numPr>
          <w:ilvl w:val="1"/>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Rola:</w:t>
      </w:r>
      <w:r w:rsidDel="00000000" w:rsidR="00000000" w:rsidRPr="00000000">
        <w:rPr>
          <w:rFonts w:ascii="Google Sans Text" w:cs="Google Sans Text" w:eastAsia="Google Sans Text" w:hAnsi="Google Sans Text"/>
          <w:color w:val="1f1f1f"/>
          <w:rtl w:val="0"/>
        </w:rPr>
        <w:t xml:space="preserve"> Odpowiada za terminową realizację planu produkcyjnego, efektywność operacyjną (OEE) i zarządzanie zasobami ludzkimi na hali.</w:t>
      </w:r>
    </w:p>
    <w:p w:rsidR="00000000" w:rsidDel="00000000" w:rsidP="00000000" w:rsidRDefault="00000000" w:rsidRPr="00000000" w14:paraId="00000031">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Problem:</w:t>
      </w:r>
      <w:r w:rsidDel="00000000" w:rsidR="00000000" w:rsidRPr="00000000">
        <w:rPr>
          <w:rFonts w:ascii="Google Sans Text" w:cs="Google Sans Text" w:eastAsia="Google Sans Text" w:hAnsi="Google Sans Text"/>
          <w:color w:val="1f1f1f"/>
          <w:rtl w:val="0"/>
        </w:rPr>
        <w:t xml:space="preserve"> Nieplanowane przestoje wynikające z oczekiwania na decyzje inżynieryjne (MRB) w sprawie części niezgodnych. Ryzyko pracy operatorów na nieaktualnych wersjach instrukcji po wprowadzeniu zmian inżynieryjnych, co prowadzi do reworku i strat materiałowych.</w:t>
      </w:r>
    </w:p>
    <w:p w:rsidR="00000000" w:rsidDel="00000000" w:rsidP="00000000" w:rsidRDefault="00000000" w:rsidRPr="00000000" w14:paraId="00000032">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Oczekiwanie:</w:t>
      </w:r>
      <w:r w:rsidDel="00000000" w:rsidR="00000000" w:rsidRPr="00000000">
        <w:rPr>
          <w:rFonts w:ascii="Google Sans Text" w:cs="Google Sans Text" w:eastAsia="Google Sans Text" w:hAnsi="Google Sans Text"/>
          <w:color w:val="1f1f1f"/>
          <w:rtl w:val="0"/>
        </w:rPr>
        <w:t xml:space="preserve"> Automatyczna aktualizacja instrukcji roboczych na terminalach MES natychmiast po zatwierdzeniu ECO w PLM. Przejrzystość statusu wszystkich niezgodności w czasie rzeczywistym.</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3">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Inżynier Jakości / QA Manager (Quality Assurance):</w:t>
      </w:r>
    </w:p>
    <w:p w:rsidR="00000000" w:rsidDel="00000000" w:rsidP="00000000" w:rsidRDefault="00000000" w:rsidRPr="00000000" w14:paraId="00000034">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Rola:</w:t>
      </w:r>
      <w:r w:rsidDel="00000000" w:rsidR="00000000" w:rsidRPr="00000000">
        <w:rPr>
          <w:rFonts w:ascii="Google Sans Text" w:cs="Google Sans Text" w:eastAsia="Google Sans Text" w:hAnsi="Google Sans Text"/>
          <w:color w:val="1f1f1f"/>
          <w:rtl w:val="0"/>
        </w:rPr>
        <w:t xml:space="preserve"> Zapewnienie zgodności z normą AS9100, nadzór nad procesami specjalnymi, bezpieczeństwo produktu. Zarządzanie procesem MRB.</w:t>
      </w:r>
    </w:p>
    <w:p w:rsidR="00000000" w:rsidDel="00000000" w:rsidP="00000000" w:rsidRDefault="00000000" w:rsidRPr="00000000" w14:paraId="00000035">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Problem:</w:t>
      </w:r>
      <w:r w:rsidDel="00000000" w:rsidR="00000000" w:rsidRPr="00000000">
        <w:rPr>
          <w:rFonts w:ascii="Google Sans Text" w:cs="Google Sans Text" w:eastAsia="Google Sans Text" w:hAnsi="Google Sans Text"/>
          <w:color w:val="1f1f1f"/>
          <w:rtl w:val="0"/>
        </w:rPr>
        <w:t xml:space="preserve"> Czasochłonna, ręczna agregacja danych z różnych, niepołączonych systemów (papierowe raporty NDT, wydruki z maszyn CMM, logi z autoklawów, modele CAD) w celu podjęcia decyzji o losach niezgodnej części. Wysokie ryzyko błędu ludzkiego przy przepisywaniu danych pomiarowych.</w:t>
      </w:r>
    </w:p>
    <w:p w:rsidR="00000000" w:rsidDel="00000000" w:rsidP="00000000" w:rsidRDefault="00000000" w:rsidRPr="00000000" w14:paraId="00000036">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Oczekiwanie:</w:t>
      </w:r>
      <w:r w:rsidDel="00000000" w:rsidR="00000000" w:rsidRPr="00000000">
        <w:rPr>
          <w:rFonts w:ascii="Google Sans Text" w:cs="Google Sans Text" w:eastAsia="Google Sans Text" w:hAnsi="Google Sans Text"/>
          <w:color w:val="1f1f1f"/>
          <w:rtl w:val="0"/>
        </w:rPr>
        <w:t xml:space="preserve"> Zintegrowany "Digital Twin" części, gdzie wyniki inspekcji są automatycznie nałożone na model 3D (Color Mapping), umożliwiając natychmiastową ocenę odchyleń.</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37">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Audytor Certyfikujący (Certification Authority Representative):</w:t>
      </w:r>
    </w:p>
    <w:p w:rsidR="00000000" w:rsidDel="00000000" w:rsidP="00000000" w:rsidRDefault="00000000" w:rsidRPr="00000000" w14:paraId="00000038">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Rola:</w:t>
      </w:r>
      <w:r w:rsidDel="00000000" w:rsidR="00000000" w:rsidRPr="00000000">
        <w:rPr>
          <w:rFonts w:ascii="Google Sans Text" w:cs="Google Sans Text" w:eastAsia="Google Sans Text" w:hAnsi="Google Sans Text"/>
          <w:color w:val="1f1f1f"/>
          <w:rtl w:val="0"/>
        </w:rPr>
        <w:t xml:space="preserve"> Weryfikacja zdatności do lotu, audytowanie procesów wytwarzania i zatwierdzanie dokumentacji typu.</w:t>
      </w:r>
    </w:p>
    <w:p w:rsidR="00000000" w:rsidDel="00000000" w:rsidP="00000000" w:rsidRDefault="00000000" w:rsidRPr="00000000" w14:paraId="00000039">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Problem:</w:t>
      </w:r>
      <w:r w:rsidDel="00000000" w:rsidR="00000000" w:rsidRPr="00000000">
        <w:rPr>
          <w:rFonts w:ascii="Google Sans Text" w:cs="Google Sans Text" w:eastAsia="Google Sans Text" w:hAnsi="Google Sans Text"/>
          <w:color w:val="1f1f1f"/>
          <w:rtl w:val="0"/>
        </w:rPr>
        <w:t xml:space="preserve"> Trudność w szybkim prześledzeniu pełnej historii zmian i genealogii materiałowej w systemach papierowych lub hybrydowych. Brak pewności co do integralności danych historycznych (Data Integrity).</w:t>
      </w:r>
    </w:p>
    <w:p w:rsidR="00000000" w:rsidDel="00000000" w:rsidP="00000000" w:rsidRDefault="00000000" w:rsidRPr="00000000" w14:paraId="0000003A">
      <w:pPr>
        <w:numPr>
          <w:ilvl w:val="1"/>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Oczekiwanie:</w:t>
      </w:r>
      <w:r w:rsidDel="00000000" w:rsidR="00000000" w:rsidRPr="00000000">
        <w:rPr>
          <w:rFonts w:ascii="Google Sans Text" w:cs="Google Sans Text" w:eastAsia="Google Sans Text" w:hAnsi="Google Sans Text"/>
          <w:color w:val="1f1f1f"/>
          <w:rtl w:val="0"/>
        </w:rPr>
        <w:t xml:space="preserve"> Pełna, cyfrowa historia produktu (Digital Data Package) dostępna na żądanie, z gwarancją niezmienności zapisów (Audit Trail) i możliwością łatwego przeszukiwania.</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Architektura Biznesowa (Business Architecture)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Warstwa biznesowa definiuje, w jaki sposób organizacja lotnicza generuje wartość dla klienta poprzez realizację specyficznych procesów inżynieryjnych, produkcyjnych i jakościowych. W modelowaniu wykorzystano standardową notację BPMN 2.0 (Business Process Model and Notation), aby precyzyjnie oddać logikę przepływów pracy, bramek decyzyjnych oraz obsługi wyjątków, które są immanentną cechą produkcji lotniczej.</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Usługa Biznesowa: "Certyfikowane Komponenty Lotnicze"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Główną usługą biznesową, którą fabryka świadczy dla swoich klientów (linii lotniczych, integratorów wojskowych), jest dostarczenie komponentów lub całych statków powietrznych, które nie tylko spełniają wymagania funkcjonalne i wydajnościowe, ale posiadają pełną, niepodważalną dokumentację poświadczającą ich zdatność do lotu (Certificate of Conformity / Airworthiness Certificate). Usługa ta jest realizowana poprzez ścisłą, zsynchronizowaną współpracę procesów inżynieryjnych (zarządzanie zmianą) i jakościowych (zarządzanie niezgodnością).</w:t>
      </w:r>
    </w:p>
    <w:p w:rsidR="00000000" w:rsidDel="00000000" w:rsidP="00000000" w:rsidRDefault="00000000" w:rsidRPr="00000000" w14:paraId="0000003F">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Wejście:</w:t>
      </w:r>
      <w:r w:rsidDel="00000000" w:rsidR="00000000" w:rsidRPr="00000000">
        <w:rPr>
          <w:rFonts w:ascii="Google Sans Text" w:cs="Google Sans Text" w:eastAsia="Google Sans Text" w:hAnsi="Google Sans Text"/>
          <w:color w:val="1f1f1f"/>
          <w:rtl w:val="0"/>
        </w:rPr>
        <w:t xml:space="preserve"> Wymagania klienta/rynku, specyfikacje techniczne, zgłoszenia problemów z eksploatacji (In-Service Issues) lub produkcji, certyfikowane surowce i półprodukty.</w:t>
      </w:r>
    </w:p>
    <w:p w:rsidR="00000000" w:rsidDel="00000000" w:rsidP="00000000" w:rsidRDefault="00000000" w:rsidRPr="00000000" w14:paraId="00000040">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Wyjście:</w:t>
      </w:r>
      <w:r w:rsidDel="00000000" w:rsidR="00000000" w:rsidRPr="00000000">
        <w:rPr>
          <w:rFonts w:ascii="Google Sans Text" w:cs="Google Sans Text" w:eastAsia="Google Sans Text" w:hAnsi="Google Sans Text"/>
          <w:color w:val="1f1f1f"/>
          <w:rtl w:val="0"/>
        </w:rPr>
        <w:t xml:space="preserve"> Zmodyfikowana i zatwierdzona dokumentacja techniczna, wyprodukowany wyrób zgodny z wymaganiami (Conforming Product), kompletne raporty jakościowe i materiałowe, zaktualizowany Cyfrowy Bliźniak (As-Built).</w:t>
      </w:r>
    </w:p>
    <w:p w:rsidR="00000000" w:rsidDel="00000000" w:rsidP="00000000" w:rsidRDefault="00000000" w:rsidRPr="00000000" w14:paraId="00000041">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Interfejs do klienta/regulatora:</w:t>
      </w:r>
      <w:r w:rsidDel="00000000" w:rsidR="00000000" w:rsidRPr="00000000">
        <w:rPr>
          <w:rFonts w:ascii="Google Sans Text" w:cs="Google Sans Text" w:eastAsia="Google Sans Text" w:hAnsi="Google Sans Text"/>
          <w:color w:val="1f1f1f"/>
          <w:rtl w:val="0"/>
        </w:rPr>
        <w:t xml:space="preserve"> EASA Form 1, Deklaracja Zgodności, Dokumentacja Techniczno-Ruchowa, dostęp do portalu klienta z danymi eksploatacyjnymi.</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Modelowanie Procesów BPMN</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Proces 1: "ECR/ECO Process" (Proces Zarządzania Zmianą Inżynieryjną)</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Ten proces zarządczy jest kręgosłupem utrzymania spójności konfiguracji statku powietrznego (Configuration Management). Modeluje on pełny cykl życia zmiany inżynieryjnej, od momentu jej zgłoszenia, poprzez analizę, zatwierdzenie, aż do pełnego wdrożenia na produkcji i w serwisie.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Szczegółowy przebieg procesu:</w:t>
      </w:r>
    </w:p>
    <w:p w:rsidR="00000000" w:rsidDel="00000000" w:rsidP="00000000" w:rsidRDefault="00000000" w:rsidRPr="00000000" w14:paraId="00000046">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Zgłoszenie Zmiany (ECR - Engineering Change Request):</w:t>
      </w:r>
    </w:p>
    <w:p w:rsidR="00000000" w:rsidDel="00000000" w:rsidP="00000000" w:rsidRDefault="00000000" w:rsidRPr="00000000" w14:paraId="00000047">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Inicjacja:</w:t>
      </w:r>
      <w:r w:rsidDel="00000000" w:rsidR="00000000" w:rsidRPr="00000000">
        <w:rPr>
          <w:rFonts w:ascii="Google Sans Text" w:cs="Google Sans Text" w:eastAsia="Google Sans Text" w:hAnsi="Google Sans Text"/>
          <w:color w:val="1f1f1f"/>
          <w:rtl w:val="0"/>
        </w:rPr>
        <w:t xml:space="preserve"> Aktor (Inżynier Konstruktor, Inżynier Produkcji, Serwisant) identyfikuje problem lub szansę na ulepszenie (np. kolizja montażowa, nowa regulacja środowiskowa, optymalizacja wagi elementu, dostępność materiału).</w:t>
      </w:r>
    </w:p>
    <w:p w:rsidR="00000000" w:rsidDel="00000000" w:rsidP="00000000" w:rsidRDefault="00000000" w:rsidRPr="00000000" w14:paraId="00000048">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Rejestracja w PLM:</w:t>
      </w:r>
      <w:r w:rsidDel="00000000" w:rsidR="00000000" w:rsidRPr="00000000">
        <w:rPr>
          <w:rFonts w:ascii="Google Sans Text" w:cs="Google Sans Text" w:eastAsia="Google Sans Text" w:hAnsi="Google Sans Text"/>
          <w:color w:val="1f1f1f"/>
          <w:rtl w:val="0"/>
        </w:rPr>
        <w:t xml:space="preserve"> Utworzenie obiektu ECR w systemie PLM. System wymusza wypełnienie ustrukturyzowanych metadanych: opis problemu, proponowane rozwiązanie, kategoria zmiany (np. Safety, Reliability, Cost Reduction), priorytet.</w:t>
      </w:r>
    </w:p>
    <w:p w:rsidR="00000000" w:rsidDel="00000000" w:rsidP="00000000" w:rsidRDefault="00000000" w:rsidRPr="00000000" w14:paraId="00000049">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Ocena Wpływu (Impact Analysis):</w:t>
      </w:r>
    </w:p>
    <w:p w:rsidR="00000000" w:rsidDel="00000000" w:rsidP="00000000" w:rsidRDefault="00000000" w:rsidRPr="00000000" w14:paraId="0000004A">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Cross-Functional Review:</w:t>
      </w:r>
      <w:r w:rsidDel="00000000" w:rsidR="00000000" w:rsidRPr="00000000">
        <w:rPr>
          <w:rFonts w:ascii="Google Sans Text" w:cs="Google Sans Text" w:eastAsia="Google Sans Text" w:hAnsi="Google Sans Text"/>
          <w:color w:val="1f1f1f"/>
          <w:rtl w:val="0"/>
        </w:rPr>
        <w:t xml:space="preserve"> Zespół interdyscyplinarny (CCB - Change Control Board) analizuje wielowymiarowy wpływ proponowanej zmiany:</w:t>
      </w:r>
    </w:p>
    <w:p w:rsidR="00000000" w:rsidDel="00000000" w:rsidP="00000000" w:rsidRDefault="00000000" w:rsidRPr="00000000" w14:paraId="0000004B">
      <w:pPr>
        <w:numPr>
          <w:ilvl w:val="2"/>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Koszt i Harmonogram:</w:t>
      </w:r>
      <w:r w:rsidDel="00000000" w:rsidR="00000000" w:rsidRPr="00000000">
        <w:rPr>
          <w:rFonts w:ascii="Google Sans Text" w:cs="Google Sans Text" w:eastAsia="Google Sans Text" w:hAnsi="Google Sans Text"/>
          <w:color w:val="1f1f1f"/>
          <w:rtl w:val="0"/>
        </w:rPr>
        <w:t xml:space="preserve"> Koszty inżynieryjne (Non-Recurring Engineering - NRE), koszty oprzyrządowania, wpływ na terminy dostaw.</w:t>
      </w:r>
    </w:p>
    <w:p w:rsidR="00000000" w:rsidDel="00000000" w:rsidP="00000000" w:rsidRDefault="00000000" w:rsidRPr="00000000" w14:paraId="0000004C">
      <w:pPr>
        <w:numPr>
          <w:ilvl w:val="2"/>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Certyfikacja:</w:t>
      </w:r>
      <w:r w:rsidDel="00000000" w:rsidR="00000000" w:rsidRPr="00000000">
        <w:rPr>
          <w:rFonts w:ascii="Google Sans Text" w:cs="Google Sans Text" w:eastAsia="Google Sans Text" w:hAnsi="Google Sans Text"/>
          <w:color w:val="1f1f1f"/>
          <w:rtl w:val="0"/>
        </w:rPr>
        <w:t xml:space="preserve"> Czy zmiana jest "Major" czy "Minor"? Czy wymaga re-certyfikacji przez nadzór lotniczy?</w:t>
      </w:r>
    </w:p>
    <w:p w:rsidR="00000000" w:rsidDel="00000000" w:rsidP="00000000" w:rsidRDefault="00000000" w:rsidRPr="00000000" w14:paraId="0000004D">
      <w:pPr>
        <w:numPr>
          <w:ilvl w:val="2"/>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Łańcuch Dostaw:</w:t>
      </w:r>
      <w:r w:rsidDel="00000000" w:rsidR="00000000" w:rsidRPr="00000000">
        <w:rPr>
          <w:rFonts w:ascii="Google Sans Text" w:cs="Google Sans Text" w:eastAsia="Google Sans Text" w:hAnsi="Google Sans Text"/>
          <w:color w:val="1f1f1f"/>
          <w:rtl w:val="0"/>
        </w:rPr>
        <w:t xml:space="preserve"> Czy dostawcy muszą zmienić swoje procesy lub oprzyrządowanie? Czy posiadają odpowiednie zapasy starych części?</w:t>
      </w:r>
    </w:p>
    <w:p w:rsidR="00000000" w:rsidDel="00000000" w:rsidP="00000000" w:rsidRDefault="00000000" w:rsidRPr="00000000" w14:paraId="0000004E">
      <w:pPr>
        <w:numPr>
          <w:ilvl w:val="2"/>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Produkcja:</w:t>
      </w:r>
      <w:r w:rsidDel="00000000" w:rsidR="00000000" w:rsidRPr="00000000">
        <w:rPr>
          <w:rFonts w:ascii="Google Sans Text" w:cs="Google Sans Text" w:eastAsia="Google Sans Text" w:hAnsi="Google Sans Text"/>
          <w:color w:val="1f1f1f"/>
          <w:rtl w:val="0"/>
        </w:rPr>
        <w:t xml:space="preserve"> Czy wymagane są nowe programy CNC, zmiany w layoutcie linii, nowe narzędzia montażowe?</w:t>
      </w:r>
    </w:p>
    <w:p w:rsidR="00000000" w:rsidDel="00000000" w:rsidP="00000000" w:rsidRDefault="00000000" w:rsidRPr="00000000" w14:paraId="0000004F">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Podproces Symulacji:</w:t>
      </w:r>
      <w:r w:rsidDel="00000000" w:rsidR="00000000" w:rsidRPr="00000000">
        <w:rPr>
          <w:rFonts w:ascii="Google Sans Text" w:cs="Google Sans Text" w:eastAsia="Google Sans Text" w:hAnsi="Google Sans Text"/>
          <w:color w:val="1f1f1f"/>
          <w:rtl w:val="0"/>
        </w:rPr>
        <w:t xml:space="preserve"> Wykorzystanie Cyfrowego Bliźniaka do wirtualnej walidacji zmiany (np. analiza kolizji w złożeniu 3D, symulacja ergonomii montażu).</w:t>
      </w:r>
    </w:p>
    <w:p w:rsidR="00000000" w:rsidDel="00000000" w:rsidP="00000000" w:rsidRDefault="00000000" w:rsidRPr="00000000" w14:paraId="00000050">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Decyzja i Zatwierdzenie (Change Control Board - CCB):</w:t>
      </w:r>
    </w:p>
    <w:p w:rsidR="00000000" w:rsidDel="00000000" w:rsidP="00000000" w:rsidRDefault="00000000" w:rsidRPr="00000000" w14:paraId="00000051">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Bramka decyzyjna. CCB podejmuje decyzję o odrzuceniu, odroczeniu lub zatwierdzeniu zmiany.</w:t>
      </w:r>
    </w:p>
    <w:p w:rsidR="00000000" w:rsidDel="00000000" w:rsidP="00000000" w:rsidRDefault="00000000" w:rsidRPr="00000000" w14:paraId="00000052">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Jeśli </w:t>
      </w:r>
      <w:r w:rsidDel="00000000" w:rsidR="00000000" w:rsidRPr="00000000">
        <w:rPr>
          <w:rFonts w:ascii="Google Sans Text" w:cs="Google Sans Text" w:eastAsia="Google Sans Text" w:hAnsi="Google Sans Text"/>
          <w:b w:val="1"/>
          <w:bCs w:val="1"/>
          <w:color w:val="1f1f1f"/>
          <w:rtl w:val="0"/>
        </w:rPr>
        <w:t xml:space="preserve">Zgoda</w:t>
      </w:r>
      <w:r w:rsidDel="00000000" w:rsidR="00000000" w:rsidRPr="00000000">
        <w:rPr>
          <w:rFonts w:ascii="Google Sans Text" w:cs="Google Sans Text" w:eastAsia="Google Sans Text" w:hAnsi="Google Sans Text"/>
          <w:color w:val="1f1f1f"/>
          <w:rtl w:val="0"/>
        </w:rPr>
        <w:t xml:space="preserve"> -&gt; Przekształcenie ECR w ECO (Engineering Change Order). ECO jest formalnym rozkazem wykonania zmiany.</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3">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Opracowanie Rozwiązania (ECO Execution):</w:t>
      </w:r>
    </w:p>
    <w:p w:rsidR="00000000" w:rsidDel="00000000" w:rsidP="00000000" w:rsidRDefault="00000000" w:rsidRPr="00000000" w14:paraId="00000054">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Aktualizacja eBOM:</w:t>
      </w:r>
      <w:r w:rsidDel="00000000" w:rsidR="00000000" w:rsidRPr="00000000">
        <w:rPr>
          <w:rFonts w:ascii="Google Sans Text" w:cs="Google Sans Text" w:eastAsia="Google Sans Text" w:hAnsi="Google Sans Text"/>
          <w:color w:val="1f1f1f"/>
          <w:rtl w:val="0"/>
        </w:rPr>
        <w:t xml:space="preserve"> Inżynierowie modyfikują modele CAD, rysunki i strukturę inżynieryjną produktu.</w:t>
      </w:r>
    </w:p>
    <w:p w:rsidR="00000000" w:rsidDel="00000000" w:rsidP="00000000" w:rsidRDefault="00000000" w:rsidRPr="00000000" w14:paraId="00000055">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Transformacja BOM (eBOM -&gt; mBOM):</w:t>
      </w:r>
      <w:r w:rsidDel="00000000" w:rsidR="00000000" w:rsidRPr="00000000">
        <w:rPr>
          <w:rFonts w:ascii="Google Sans Text" w:cs="Google Sans Text" w:eastAsia="Google Sans Text" w:hAnsi="Google Sans Text"/>
          <w:color w:val="1f1f1f"/>
          <w:rtl w:val="0"/>
        </w:rPr>
        <w:t xml:space="preserve"> Automatyczna lub wspomagana komputerowo translacja Engineering BOM na Manufacturing BOM oraz aktualizacja Bill of Process (BoP) w systemie PLM/MES. Jest to krytyczny punkt integracji – system musi automatycznie wykryć konflikty i zapewnić, że mBOM wiernie odzwierciedla intencje inżyniera, uwzględniając jednocześnie realia produkcyjne (np. kolejność montażu, zestawy fantomowe).</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56">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Dystrybucja i Wdrożenie (Communication to MES &amp; Supply Chain):</w:t>
      </w:r>
    </w:p>
    <w:p w:rsidR="00000000" w:rsidDel="00000000" w:rsidP="00000000" w:rsidRDefault="00000000" w:rsidRPr="00000000" w14:paraId="00000057">
      <w:pPr>
        <w:numPr>
          <w:ilvl w:val="1"/>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Status ECO zmienia się na "Released".</w:t>
      </w:r>
    </w:p>
    <w:p w:rsidR="00000000" w:rsidDel="00000000" w:rsidP="00000000" w:rsidRDefault="00000000" w:rsidRPr="00000000" w14:paraId="00000058">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System MES automatycznie pobiera nową rewizję mBOM, instrukcji roboczych i programów CNC.</w:t>
      </w:r>
    </w:p>
    <w:p w:rsidR="00000000" w:rsidDel="00000000" w:rsidP="00000000" w:rsidRDefault="00000000" w:rsidRPr="00000000" w14:paraId="00000059">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Generowane jest powiadomienie ECN (Engineering Change Notice) do wszystkich zainteresowanych stron.</w:t>
      </w:r>
    </w:p>
    <w:p w:rsidR="00000000" w:rsidDel="00000000" w:rsidP="00000000" w:rsidRDefault="00000000" w:rsidRPr="00000000" w14:paraId="0000005A">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Stare rewizje są systemowo blokowane lub oznaczane jako "Use-Up" (zużycie zapasów) w zależności od przyjętej strategii efektu (effectivity - data lub numer seryjny).</w:t>
      </w:r>
    </w:p>
    <w:p w:rsidR="00000000" w:rsidDel="00000000" w:rsidP="00000000" w:rsidRDefault="00000000" w:rsidRPr="00000000" w14:paraId="0000005B">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Aktualizacja Dokumentacji i Zamknięcie:</w:t>
      </w:r>
      <w:r w:rsidDel="00000000" w:rsidR="00000000" w:rsidRPr="00000000">
        <w:rPr>
          <w:rFonts w:ascii="Google Sans Text" w:cs="Google Sans Text" w:eastAsia="Google Sans Text" w:hAnsi="Google Sans Text"/>
          <w:color w:val="1f1f1f"/>
          <w:rtl w:val="0"/>
        </w:rPr>
        <w:t xml:space="preserve"> System generuje nowe rewizje rysunków, instrukcji dla serwisu (CMM - Component Maintenance Manual) oraz aktualizuje katalog części zamiennych.</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Obsługa Wyjątków:</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Odrzucenie ECR:</w:t>
      </w:r>
      <w:r w:rsidDel="00000000" w:rsidR="00000000" w:rsidRPr="00000000">
        <w:rPr>
          <w:rFonts w:ascii="Google Sans Text" w:cs="Google Sans Text" w:eastAsia="Google Sans Text" w:hAnsi="Google Sans Text"/>
          <w:color w:val="1f1f1f"/>
          <w:rtl w:val="0"/>
        </w:rPr>
        <w:t xml:space="preserve"> Jeśli CCB odrzuci wniosek, proces kończy się archiwizacją zgłoszenia z podaniem uzasadnienia.</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Pilna Zmiana Bezpieczeństwa:</w:t>
      </w:r>
      <w:r w:rsidDel="00000000" w:rsidR="00000000" w:rsidRPr="00000000">
        <w:rPr>
          <w:rFonts w:ascii="Google Sans Text" w:cs="Google Sans Text" w:eastAsia="Google Sans Text" w:hAnsi="Google Sans Text"/>
          <w:color w:val="1f1f1f"/>
          <w:rtl w:val="0"/>
        </w:rPr>
        <w:t xml:space="preserve"> Ścieżka "Fast Track" pomijająca niektóre etapy administracyjne, ale wymagająca rygorystycznej walidacji technicznej w trybie priorytetowym.</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Proces 2: "Non-conformance Handling" (Obsługa Niezgodności i MRB)</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Proces ten jest uruchamiany w każdym przypadku wykrycia odchylenia wyrobu lub procesu od zatwierdzonej specyfikacji. Jego celem jest podjęcie optymalnej decyzji o losie wyrobu przy jednoczesnym bezwzględnym zapewnieniu bezpieczeństwa lotu.</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Szczegółowy przebieg procesu:</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Detekcja i Identyfikacja (Detection &amp; Identification):</w:t>
      </w:r>
    </w:p>
    <w:p w:rsidR="00000000" w:rsidDel="00000000" w:rsidP="00000000" w:rsidRDefault="00000000" w:rsidRPr="00000000" w14:paraId="00000063">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Inspekcja:</w:t>
      </w:r>
      <w:r w:rsidDel="00000000" w:rsidR="00000000" w:rsidRPr="00000000">
        <w:rPr>
          <w:rFonts w:ascii="Google Sans Text" w:cs="Google Sans Text" w:eastAsia="Google Sans Text" w:hAnsi="Google Sans Text"/>
          <w:color w:val="1f1f1f"/>
          <w:rtl w:val="0"/>
        </w:rPr>
        <w:t xml:space="preserve"> Operator, kontroler jakości lub zautomatyzowany system inspekcji (np. skaner NDT) wykrywa wadę (np. rysa na poszyciu, delaminacja w kompozycie, wymiar otworu poza tolerancją).</w:t>
      </w:r>
    </w:p>
    <w:p w:rsidR="00000000" w:rsidDel="00000000" w:rsidP="00000000" w:rsidRDefault="00000000" w:rsidRPr="00000000" w14:paraId="0000006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Zgłoszenie NCR:</w:t>
      </w:r>
      <w:r w:rsidDel="00000000" w:rsidR="00000000" w:rsidRPr="00000000">
        <w:rPr>
          <w:rFonts w:ascii="Google Sans Text" w:cs="Google Sans Text" w:eastAsia="Google Sans Text" w:hAnsi="Google Sans Text"/>
          <w:color w:val="1f1f1f"/>
          <w:rtl w:val="0"/>
        </w:rPr>
        <w:t xml:space="preserve"> Utworzenie raportu niezgodności (Non-Conformance Report) w systemie MES/QMS. Wyrób jest fizycznie oznaczany (np. czerwoną przywieszką) i systemowo "kwarantannowany" (status: BLOCKED/HOLD). System blokuje możliwość dalszego przetwarzania tej sztuki.</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Klasyfikacja Wstępna (Triage):</w:t>
      </w:r>
    </w:p>
    <w:p w:rsidR="00000000" w:rsidDel="00000000" w:rsidP="00000000" w:rsidRDefault="00000000" w:rsidRPr="00000000" w14:paraId="00000066">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Inżynier Jakości ocenia charakter wady. Czy jest to wada trywialna (np. kosmetyka, drobne zarysowanie) czy krytyczna (wpływ na strukturę, zmęczenie materiału, bezpieczeństwo)?</w:t>
      </w:r>
    </w:p>
    <w:p w:rsidR="00000000" w:rsidDel="00000000" w:rsidP="00000000" w:rsidRDefault="00000000" w:rsidRPr="00000000" w14:paraId="00000067">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Jeśli wada jest standardowa i istnieje zatwierdzona procedura naprawcza (Standard Repair Manual - SRM) -&gt; Zastosowanie procedury.</w:t>
      </w:r>
    </w:p>
    <w:p w:rsidR="00000000" w:rsidDel="00000000" w:rsidP="00000000" w:rsidRDefault="00000000" w:rsidRPr="00000000" w14:paraId="0000006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Jeśli wada jest złożona lub dotyczy elementu krytycznego (CSI) -&gt; Skierowanie sprawy do Rady Przeglądu Materiałowego (MRB - Material Review Board).</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Analiza MRB (Material Review Board Analysis):</w:t>
      </w:r>
    </w:p>
    <w:p w:rsidR="00000000" w:rsidDel="00000000" w:rsidP="00000000" w:rsidRDefault="00000000" w:rsidRPr="00000000" w14:paraId="0000006A">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Zwołanie posiedzenia MRB, w skład którego wchodzą przedstawiciele Inżynierii (Design Authority), Jakości, Produkcji oraz ewentualnie przedstawiciel Klienta lub Regulatora.</w:t>
      </w:r>
    </w:p>
    <w:p w:rsidR="00000000" w:rsidDel="00000000" w:rsidP="00000000" w:rsidRDefault="00000000" w:rsidRPr="00000000" w14:paraId="0000006B">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Analiza Inżynierska:</w:t>
      </w:r>
      <w:r w:rsidDel="00000000" w:rsidR="00000000" w:rsidRPr="00000000">
        <w:rPr>
          <w:rFonts w:ascii="Google Sans Text" w:cs="Google Sans Text" w:eastAsia="Google Sans Text" w:hAnsi="Google Sans Text"/>
          <w:color w:val="1f1f1f"/>
          <w:rtl w:val="0"/>
        </w:rPr>
        <w:t xml:space="preserve"> Pobranie Cyfrowego Bliźniaka wadliwej części z systemu PLM. Nałożenie rzeczywistych danych ze skanu NDT (np. chmura punktów, obraz RTG w formacie DICONDE) na nominalny model CAD.</w:t>
      </w:r>
    </w:p>
    <w:p w:rsidR="00000000" w:rsidDel="00000000" w:rsidP="00000000" w:rsidRDefault="00000000" w:rsidRPr="00000000" w14:paraId="0000006C">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Symulacja (HPC Analysis):</w:t>
      </w:r>
      <w:r w:rsidDel="00000000" w:rsidR="00000000" w:rsidRPr="00000000">
        <w:rPr>
          <w:rFonts w:ascii="Google Sans Text" w:cs="Google Sans Text" w:eastAsia="Google Sans Text" w:hAnsi="Google Sans Text"/>
          <w:color w:val="1f1f1f"/>
          <w:rtl w:val="0"/>
        </w:rPr>
        <w:t xml:space="preserve"> Uruchomienie zaawansowanej symulacji MES (Metoda Elementów Skończonych) na klastrze HPC w celu sprawdzenia, czy wykryta wada (np. porowatość w odlewie) obniża wytrzymałość elementu poniżej wymaganego marginesu bezpieczeństwa.</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Decyzja (Disposition):</w:t>
      </w:r>
    </w:p>
    <w:p w:rsidR="00000000" w:rsidDel="00000000" w:rsidP="00000000" w:rsidRDefault="00000000" w:rsidRPr="00000000" w14:paraId="0000006E">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Na podstawie wyników analizy, MRB wydaje wiążącą decyzję (Disposition):</w:t>
      </w:r>
    </w:p>
    <w:p w:rsidR="00000000" w:rsidDel="00000000" w:rsidP="00000000" w:rsidRDefault="00000000" w:rsidRPr="00000000" w14:paraId="0000006F">
      <w:pPr>
        <w:numPr>
          <w:ilvl w:val="2"/>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Rework:</w:t>
      </w:r>
      <w:r w:rsidDel="00000000" w:rsidR="00000000" w:rsidRPr="00000000">
        <w:rPr>
          <w:rFonts w:ascii="Google Sans Text" w:cs="Google Sans Text" w:eastAsia="Google Sans Text" w:hAnsi="Google Sans Text"/>
          <w:color w:val="1f1f1f"/>
          <w:rtl w:val="0"/>
        </w:rPr>
        <w:t xml:space="preserve"> Naprawa przywracająca wyrób do pełnej zgodności z oryginalnym rysunkiem i specyfikacją.</w:t>
      </w:r>
    </w:p>
    <w:p w:rsidR="00000000" w:rsidDel="00000000" w:rsidP="00000000" w:rsidRDefault="00000000" w:rsidRPr="00000000" w14:paraId="00000070">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Repair:</w:t>
      </w:r>
      <w:r w:rsidDel="00000000" w:rsidR="00000000" w:rsidRPr="00000000">
        <w:rPr>
          <w:rFonts w:ascii="Google Sans Text" w:cs="Google Sans Text" w:eastAsia="Google Sans Text" w:hAnsi="Google Sans Text"/>
          <w:color w:val="1f1f1f"/>
          <w:rtl w:val="0"/>
        </w:rPr>
        <w:t xml:space="preserve"> Naprawa przywracająca funkcjonalność i bezpieczeństwo, ale zmieniająca konfigurację fizyczną wyrobu (np. zastosowanie nadwymiarowej tulei). Wymaga zgody inżynierii i trwałego zapisu w dokumentacji.</w:t>
      </w:r>
    </w:p>
    <w:p w:rsidR="00000000" w:rsidDel="00000000" w:rsidP="00000000" w:rsidRDefault="00000000" w:rsidRPr="00000000" w14:paraId="00000071">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Use-As-Is (UAI):</w:t>
      </w:r>
      <w:r w:rsidDel="00000000" w:rsidR="00000000" w:rsidRPr="00000000">
        <w:rPr>
          <w:rFonts w:ascii="Google Sans Text" w:cs="Google Sans Text" w:eastAsia="Google Sans Text" w:hAnsi="Google Sans Text"/>
          <w:color w:val="1f1f1f"/>
          <w:rtl w:val="0"/>
        </w:rPr>
        <w:t xml:space="preserve"> Akceptacja wady (odstępstwo), jeśli analiza wykaże, że nie wpływa ona negatywnie na bezpieczeństwo, funkcjonalność, montowalność ani trwałość wyrobu.</w:t>
      </w:r>
    </w:p>
    <w:p w:rsidR="00000000" w:rsidDel="00000000" w:rsidP="00000000" w:rsidRDefault="00000000" w:rsidRPr="00000000" w14:paraId="00000072">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Scrap:</w:t>
      </w:r>
      <w:r w:rsidDel="00000000" w:rsidR="00000000" w:rsidRPr="00000000">
        <w:rPr>
          <w:rFonts w:ascii="Google Sans Text" w:cs="Google Sans Text" w:eastAsia="Google Sans Text" w:hAnsi="Google Sans Text"/>
          <w:color w:val="1f1f1f"/>
          <w:rtl w:val="0"/>
        </w:rPr>
        <w:t xml:space="preserve"> Złomowanie - decyzja o trwałym usunięciu wyrobu z procesu produkcyjnego i jego fizycznym zniszczeniu (aby zapobiec nieautoryzowanemu użyciu).</w:t>
      </w:r>
    </w:p>
    <w:p w:rsidR="00000000" w:rsidDel="00000000" w:rsidP="00000000" w:rsidRDefault="00000000" w:rsidRPr="00000000" w14:paraId="00000073">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Return to Vendor (RTV):</w:t>
      </w:r>
      <w:r w:rsidDel="00000000" w:rsidR="00000000" w:rsidRPr="00000000">
        <w:rPr>
          <w:rFonts w:ascii="Google Sans Text" w:cs="Google Sans Text" w:eastAsia="Google Sans Text" w:hAnsi="Google Sans Text"/>
          <w:color w:val="1f1f1f"/>
          <w:rtl w:val="0"/>
        </w:rPr>
        <w:t xml:space="preserve"> Zwrot do dostawcy w celu naprawy lub wymiany.</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Działania Korygujące (CAPA - Corrective and Preventive Actions):</w:t>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Przeprowadzenie analizy przyczyn źródłowych (Root Cause Analysis - RCA) przy użyciu metod takich jak 5 Why, Diagram Ishikawy czy 8D.</w:t>
      </w:r>
    </w:p>
    <w:p w:rsidR="00000000" w:rsidDel="00000000" w:rsidP="00000000" w:rsidRDefault="00000000" w:rsidRPr="00000000" w14:paraId="00000076">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Zdefiniowanie i wdrożenie działań zapobiegawczych (np. zmiana parametrów procesu w MES, szkolenie operatorów, modyfikacja oprzyrządowania), aby uniknąć ponownego wystąpienia wady.</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Aktualizacja PLM/As-Built:</w:t>
      </w:r>
    </w:p>
    <w:p w:rsidR="00000000" w:rsidDel="00000000" w:rsidP="00000000" w:rsidRDefault="00000000" w:rsidRPr="00000000" w14:paraId="00000078">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Decyzja MRB (szczególnie Repair i UAI) oraz numer NCR są trwale zapisywane w rekordzie "As-Built" danego numeru seryjnego w systemie PLM. Jest to kluczowe dla przyszłych przeglądów i napraw w fazie eksploatacji (MRO), zapewniając pełną historię elementu.</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Architektura Aplikacji (Application Architecture)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Warstwa aplikacji stanowi cyfrowy kręgosłup przedsiębiorstwa, integrując inżynierię (świat wirtualny) z produkcją (świat fizyczny). Zaprojektowana architektura opiera się na modelu platformowym, umożliwiającym ciągły i spójny przepływ danych (Digital Thread) w poprzek organizacji.</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Komponenty Aplikacyjne i ich Rola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Architektura aplikacyjna składa się z zestawu zintegrowanych systemów klasy enterprise, z których każdy pełni specyficzną, krytyczną rolę:</w:t>
      </w:r>
    </w:p>
    <w:p w:rsidR="00000000" w:rsidDel="00000000" w:rsidP="00000000" w:rsidRDefault="00000000" w:rsidRPr="00000000" w14:paraId="0000007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System PLM (Product Lifecycle Management) - np. Siemens Teamcenter / Dassault Systèmes 3DEXPERIENCE:</w:t>
      </w:r>
    </w:p>
    <w:p w:rsidR="00000000" w:rsidDel="00000000" w:rsidP="00000000" w:rsidRDefault="00000000" w:rsidRPr="00000000" w14:paraId="0000007E">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Rola:</w:t>
      </w:r>
      <w:r w:rsidDel="00000000" w:rsidR="00000000" w:rsidRPr="00000000">
        <w:rPr>
          <w:rFonts w:ascii="Google Sans Text" w:cs="Google Sans Text" w:eastAsia="Google Sans Text" w:hAnsi="Google Sans Text"/>
          <w:color w:val="1f1f1f"/>
          <w:rtl w:val="0"/>
        </w:rPr>
        <w:t xml:space="preserve"> Pełni funkcję "Single Source of Truth" (Jedyne Źródło Prawdy) dla wszystkich danych inżynieryjnych i konfiguracyjnych. Zarządza definicją produktu (CAD), strukturami eBOM i mBOM, procesami zmiany (ECR/ECO) oraz dokumentacją certyfikacyjną. Przechowuje "Master Model" 3D oraz definicję procesu (BoP). Jest systemem wiodącym dla inżynierii.</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System MES (Manufacturing Execution System) - np. Tulip / Siemens Opcenter / iBase-t Solumina:</w:t>
      </w:r>
    </w:p>
    <w:p w:rsidR="00000000" w:rsidDel="00000000" w:rsidP="00000000" w:rsidRDefault="00000000" w:rsidRPr="00000000" w14:paraId="00000080">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Rola:</w:t>
      </w:r>
      <w:r w:rsidDel="00000000" w:rsidR="00000000" w:rsidRPr="00000000">
        <w:rPr>
          <w:rFonts w:ascii="Google Sans Text" w:cs="Google Sans Text" w:eastAsia="Google Sans Text" w:hAnsi="Google Sans Text"/>
          <w:color w:val="1f1f1f"/>
          <w:rtl w:val="0"/>
        </w:rPr>
        <w:t xml:space="preserve"> Zarządzanie egzekucją produkcji na poziomie hali fabrycznej. Pobiera z PLM zlecenia i instrukcje, dostarcza operatorom elektroniczne instrukcje robocze (EWI) na terminale, zbiera dane o jakości i wydajności w czasie rzeczywistym, kontroluje status maszyn i narzędzi, wymusza ścieżki technologiczne (routing enforcement) oraz zapewnia pełną identyfikowalność (traceability) każdej operacji.</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System QMS (Quality Management System) - np. ETQ Reliance / Sparta Systems:</w:t>
      </w:r>
    </w:p>
    <w:p w:rsidR="00000000" w:rsidDel="00000000" w:rsidP="00000000" w:rsidRDefault="00000000" w:rsidRPr="00000000" w14:paraId="00000082">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Rola:</w:t>
      </w:r>
      <w:r w:rsidDel="00000000" w:rsidR="00000000" w:rsidRPr="00000000">
        <w:rPr>
          <w:rFonts w:ascii="Google Sans Text" w:cs="Google Sans Text" w:eastAsia="Google Sans Text" w:hAnsi="Google Sans Text"/>
          <w:color w:val="1f1f1f"/>
          <w:rtl w:val="0"/>
        </w:rPr>
        <w:t xml:space="preserve"> System dedykowany do zarządzania jakością, często zintegrowany z MES lub będący modułem PLM. Zarządza procesami NCR, CAPA, audytami, kwalifikacjami personelu oraz kalibracją narzędzi pomiarowych. Zapewnia zgodność z normami jakościowymi (np. AS9100).</w:t>
      </w:r>
    </w:p>
    <w:p w:rsidR="00000000" w:rsidDel="00000000" w:rsidP="00000000" w:rsidRDefault="00000000" w:rsidRPr="00000000" w14:paraId="0000008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System CAD/CAE (Computer-Aided Design/Engineering) - np. CATIA / NX / ANSYS:</w:t>
      </w:r>
    </w:p>
    <w:p w:rsidR="00000000" w:rsidDel="00000000" w:rsidP="00000000" w:rsidRDefault="00000000" w:rsidRPr="00000000" w14:paraId="00000084">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Rola:</w:t>
      </w:r>
      <w:r w:rsidDel="00000000" w:rsidR="00000000" w:rsidRPr="00000000">
        <w:rPr>
          <w:rFonts w:ascii="Google Sans Text" w:cs="Google Sans Text" w:eastAsia="Google Sans Text" w:hAnsi="Google Sans Text"/>
          <w:color w:val="1f1f1f"/>
          <w:rtl w:val="0"/>
        </w:rPr>
        <w:t xml:space="preserve"> Zaawansowane narzędzia do projektowania geometrii 3D, modelowania powierzchniowego oraz symulacji fizycznych (wytrzymałość, aerodynamika, termika). Generują one wsad (modele, rysunki) do systemu PLM.</w:t>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System DMS (Document Management System):</w:t>
      </w:r>
    </w:p>
    <w:p w:rsidR="00000000" w:rsidDel="00000000" w:rsidP="00000000" w:rsidRDefault="00000000" w:rsidRPr="00000000" w14:paraId="00000086">
      <w:pPr>
        <w:numPr>
          <w:ilvl w:val="1"/>
          <w:numId w:val="16"/>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Rola:</w:t>
      </w:r>
      <w:r w:rsidDel="00000000" w:rsidR="00000000" w:rsidRPr="00000000">
        <w:rPr>
          <w:rFonts w:ascii="Google Sans Text" w:cs="Google Sans Text" w:eastAsia="Google Sans Text" w:hAnsi="Google Sans Text"/>
          <w:color w:val="1f1f1f"/>
          <w:rtl w:val="0"/>
        </w:rPr>
        <w:t xml:space="preserve"> Zarządzanie sformalizowaną dokumentacją regulacyjną, kontraktową i certyfikacyjną. Odpowiada za bezpieczną archiwizację i retencję danych zgodnie z wymogami prawnymi (często przez okres kilkudziesięciu lat).</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Usługi Aplikacyjne i Przepływy Danych (Integration &amp; Services)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Kluczem do sukcesu transformacji jest głęboka integracja pozioma między tymi systemami. Zastosowano nowoczesne podejście oparte na usługach (SOA - Service Oriented Architecture) i mikroserwisach, wykorzystując otwarte standardy wymiany danych.</w:t>
      </w:r>
    </w:p>
    <w:p w:rsidR="00000000" w:rsidDel="00000000" w:rsidP="00000000" w:rsidRDefault="00000000" w:rsidRPr="00000000" w14:paraId="0000008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Usługa "Zarządzanie Zmianą" (Change Management Service):</w:t>
      </w:r>
    </w:p>
    <w:p w:rsidR="00000000" w:rsidDel="00000000" w:rsidP="00000000" w:rsidRDefault="00000000" w:rsidRPr="00000000" w14:paraId="0000008A">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Orkiestruje złożony proces ECR/ECO pomiędzy PLM a MES. Zapewnia, że status zmiany jest zsynchronizowany w obu systemach, a produkcja nie rozpoczyna pracy na niezatwierdzonej rewizji.</w:t>
      </w:r>
    </w:p>
    <w:p w:rsidR="00000000" w:rsidDel="00000000" w:rsidP="00000000" w:rsidRDefault="00000000" w:rsidRPr="00000000" w14:paraId="0000008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Usługa "Zarządzanie Niezgodnością" (Non-Conformance Service):</w:t>
      </w:r>
    </w:p>
    <w:p w:rsidR="00000000" w:rsidDel="00000000" w:rsidP="00000000" w:rsidRDefault="00000000" w:rsidRPr="00000000" w14:paraId="0000008C">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Łączy zgłoszenia z hali produkcyjnej (MES) z analizą inżynierską (PLM/CAE). Udostępnia interfejs dla członków MRB do przeglądu danych i wprowadzania decyzji (Disposition).</w:t>
      </w:r>
    </w:p>
    <w:p w:rsidR="00000000" w:rsidDel="00000000" w:rsidP="00000000" w:rsidRDefault="00000000" w:rsidRPr="00000000" w14:paraId="0000008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Usługa "Genealogia Elementów" (Traceability Service):</w:t>
      </w:r>
    </w:p>
    <w:p w:rsidR="00000000" w:rsidDel="00000000" w:rsidP="00000000" w:rsidRDefault="00000000" w:rsidRPr="00000000" w14:paraId="0000008E">
      <w:pPr>
        <w:numPr>
          <w:ilvl w:val="1"/>
          <w:numId w:val="21"/>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Buduje kompletne, wielopoziomowe drzewo genealogiczne (As-Built Record), agregując dane z MES (kto, kiedy, na jakiej maszynie, z jakimi wynikami), ERP (partia materiału, dostawca) i PLM (rewizja projektu). Umożliwia błyskawiczne śledzenie "w górę" i "w dół" łańcucha produkcji.</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Kluczowe Obiekty Danych i ich transformacja:</w:t>
      </w:r>
    </w:p>
    <w:p w:rsidR="00000000" w:rsidDel="00000000" w:rsidP="00000000" w:rsidRDefault="00000000" w:rsidRPr="00000000" w14:paraId="00000090">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BOM (Bill of Materials):</w:t>
      </w:r>
      <w:r w:rsidDel="00000000" w:rsidR="00000000" w:rsidRPr="00000000">
        <w:rPr>
          <w:rFonts w:ascii="Google Sans Text" w:cs="Google Sans Text" w:eastAsia="Google Sans Text" w:hAnsi="Google Sans Text"/>
          <w:color w:val="1f1f1f"/>
          <w:rtl w:val="0"/>
        </w:rPr>
        <w:t xml:space="preserve"> Obiekt podlegający ciągłej transformacji z eBOM (struktura funkcjonalna) na mBOM (struktura montażowa/produkcyjna).</w:t>
      </w:r>
    </w:p>
    <w:p w:rsidR="00000000" w:rsidDel="00000000" w:rsidP="00000000" w:rsidRDefault="00000000" w:rsidRPr="00000000" w14:paraId="00000091">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NCR (Non-Conformance Report):</w:t>
      </w:r>
      <w:r w:rsidDel="00000000" w:rsidR="00000000" w:rsidRPr="00000000">
        <w:rPr>
          <w:rFonts w:ascii="Google Sans Text" w:cs="Google Sans Text" w:eastAsia="Google Sans Text" w:hAnsi="Google Sans Text"/>
          <w:color w:val="1f1f1f"/>
          <w:rtl w:val="0"/>
        </w:rPr>
        <w:t xml:space="preserve"> Cyfrowy rekord wady, zawierający metadane, zdjęcia, wyniki pomiarów, historię decyzji i linki do działań naprawczych.</w:t>
      </w:r>
    </w:p>
    <w:p w:rsidR="00000000" w:rsidDel="00000000" w:rsidP="00000000" w:rsidRDefault="00000000" w:rsidRPr="00000000" w14:paraId="00000092">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BoP (Bill of Process):</w:t>
      </w:r>
      <w:r w:rsidDel="00000000" w:rsidR="00000000" w:rsidRPr="00000000">
        <w:rPr>
          <w:rFonts w:ascii="Google Sans Text" w:cs="Google Sans Text" w:eastAsia="Google Sans Text" w:hAnsi="Google Sans Text"/>
          <w:color w:val="1f1f1f"/>
          <w:rtl w:val="0"/>
        </w:rPr>
        <w:t xml:space="preserve"> Struktura procesu technologicznego, łącząca operacje, zasoby (maszyny, narzędzia, ludzie) i materiały w logiczną całość.</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Interfejsy i Standardy Wymiany Danych</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 celu uniknięcia uzależnienia od jednego dostawcy (Vendor Lock-in) oraz zapewnienia długoterminowej dostępności danych, architektura opiera się na standardach przemysłowych:</w:t>
      </w:r>
    </w:p>
    <w:p w:rsidR="00000000" w:rsidDel="00000000" w:rsidP="00000000" w:rsidRDefault="00000000" w:rsidRPr="00000000" w14:paraId="00000095">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AP242 (ISO 10303-242 "Managed Model-Based 3D Engineering"):</w:t>
      </w:r>
      <w:r w:rsidDel="00000000" w:rsidR="00000000" w:rsidRPr="00000000">
        <w:rPr>
          <w:rFonts w:ascii="Google Sans Text" w:cs="Google Sans Text" w:eastAsia="Google Sans Text" w:hAnsi="Google Sans Text"/>
          <w:color w:val="1f1f1f"/>
          <w:rtl w:val="0"/>
        </w:rPr>
        <w:t xml:space="preserve"> Standard dla wymiany modeli 3D wraz z informacjami PMI (tolerancje, wykończenie powierzchni). Umożliwia przesyłanie "inteligentnych" modeli z CAD do CAM i CMM.</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9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QIF (Quality Information Framework):</w:t>
      </w:r>
      <w:r w:rsidDel="00000000" w:rsidR="00000000" w:rsidRPr="00000000">
        <w:rPr>
          <w:rFonts w:ascii="Google Sans Text" w:cs="Google Sans Text" w:eastAsia="Google Sans Text" w:hAnsi="Google Sans Text"/>
          <w:color w:val="1f1f1f"/>
          <w:rtl w:val="0"/>
        </w:rPr>
        <w:t xml:space="preserve"> Standard oparty na XML do wymiany danych metrologicznych i planów jakości. Umożliwia automatyczne generowanie programów pomiarowych i zbieranie wyników w ustandaryzowanym formacie.</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97">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DICONDE (Digital Imaging and Communication in Nondestructive Evaluation):</w:t>
      </w:r>
      <w:r w:rsidDel="00000000" w:rsidR="00000000" w:rsidRPr="00000000">
        <w:rPr>
          <w:rFonts w:ascii="Google Sans Text" w:cs="Google Sans Text" w:eastAsia="Google Sans Text" w:hAnsi="Google Sans Text"/>
          <w:color w:val="1f1f1f"/>
          <w:rtl w:val="0"/>
        </w:rPr>
        <w:t xml:space="preserve"> Standard (bazujący na medycznym DICOM) do przechowywania i wymiany obrazów z badań nieniszczących (RTG, UT). Zapewnia, że dane inspekcyjne są trwale powiązane z metadanymi badanego elementu.</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Architektura Technologiczna (Technology Layer)</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Warstwa technologiczna opisuje fizyczną i systemową infrastrukturę niezbędną do obsługi zaawansowanych aplikacji inżynieryjnych i produkcyjnych, a także do przetwarzania ogromnych wolumenów danych generowanych przez nowoczesne metody produkcji i inspekcji.</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Infrastruktura Węzłów i Urządzeń (Nodes &amp; Devices)</w:t>
      </w:r>
    </w:p>
    <w:p w:rsidR="00000000" w:rsidDel="00000000" w:rsidP="00000000" w:rsidRDefault="00000000" w:rsidRPr="00000000" w14:paraId="0000009B">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Węzeł Obliczeniowy (HPC Cluster - High Performance Computing):</w:t>
      </w:r>
    </w:p>
    <w:p w:rsidR="00000000" w:rsidDel="00000000" w:rsidP="00000000" w:rsidRDefault="00000000" w:rsidRPr="00000000" w14:paraId="0000009C">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Opis:</w:t>
      </w:r>
      <w:r w:rsidDel="00000000" w:rsidR="00000000" w:rsidRPr="00000000">
        <w:rPr>
          <w:rFonts w:ascii="Google Sans Text" w:cs="Google Sans Text" w:eastAsia="Google Sans Text" w:hAnsi="Google Sans Text"/>
          <w:color w:val="1f1f1f"/>
          <w:rtl w:val="0"/>
        </w:rPr>
        <w:t xml:space="preserve"> Potężny klaster serwerów o dużej mocy obliczeniowej, często wyposażony w akceleratory GPU. Służy do wykonywania zaawansowanych, wymagających obliczeniowo symulacji inżynierskich (CAE/FEA/CFD) w czasie zbliżonym do rzeczywistego.</w:t>
      </w:r>
    </w:p>
    <w:p w:rsidR="00000000" w:rsidDel="00000000" w:rsidP="00000000" w:rsidRDefault="00000000" w:rsidRPr="00000000" w14:paraId="0000009D">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Zastosowanie:</w:t>
      </w:r>
      <w:r w:rsidDel="00000000" w:rsidR="00000000" w:rsidRPr="00000000">
        <w:rPr>
          <w:rFonts w:ascii="Google Sans Text" w:cs="Google Sans Text" w:eastAsia="Google Sans Text" w:hAnsi="Google Sans Text"/>
          <w:color w:val="1f1f1f"/>
          <w:rtl w:val="0"/>
        </w:rPr>
        <w:t xml:space="preserve"> Jest to element krytyczny dla szybkiej analizy MRB. Zamiast czekać dni na wyniki konwencjonalnych obliczeń wytrzymałościowych dla uszkodzonej części, inżynierowie otrzymują wyniki symulacji wpływu wady w ciągu godzin, co pozwala na szybkie podjęcie bezpiecznej decyzji.</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9E">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Relacja:</w:t>
      </w:r>
      <w:r w:rsidDel="00000000" w:rsidR="00000000" w:rsidRPr="00000000">
        <w:rPr>
          <w:rFonts w:ascii="Google Sans Text" w:cs="Google Sans Text" w:eastAsia="Google Sans Text" w:hAnsi="Google Sans Text"/>
          <w:color w:val="1f1f1f"/>
          <w:rtl w:val="0"/>
        </w:rPr>
        <w:t xml:space="preserve"> Realizuje usługę technologiczną "Render/CAE".</w:t>
      </w:r>
    </w:p>
    <w:p w:rsidR="00000000" w:rsidDel="00000000" w:rsidP="00000000" w:rsidRDefault="00000000" w:rsidRPr="00000000" w14:paraId="0000009F">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Serwery Aplikacyjne (PLM Server, MES Server):</w:t>
      </w:r>
    </w:p>
    <w:p w:rsidR="00000000" w:rsidDel="00000000" w:rsidP="00000000" w:rsidRDefault="00000000" w:rsidRPr="00000000" w14:paraId="000000A0">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Fizyczne lub wirtualne maszyny (często w architekturze klastrowej lub chmurze prywatnej) hostujące logikę biznesową systemów. Zapewniają wysoką dostępność (High Availability) oraz redundancję, co jest krytyczne dla ciągłości produkcji 24/7.</w:t>
      </w:r>
    </w:p>
    <w:p w:rsidR="00000000" w:rsidDel="00000000" w:rsidP="00000000" w:rsidRDefault="00000000" w:rsidRPr="00000000" w14:paraId="000000A1">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Urządzenia Przemysłowe (Industrial Devices):</w:t>
      </w:r>
    </w:p>
    <w:p w:rsidR="00000000" w:rsidDel="00000000" w:rsidP="00000000" w:rsidRDefault="00000000" w:rsidRPr="00000000" w14:paraId="000000A2">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Maszyny CNC:</w:t>
      </w:r>
      <w:r w:rsidDel="00000000" w:rsidR="00000000" w:rsidRPr="00000000">
        <w:rPr>
          <w:rFonts w:ascii="Google Sans Text" w:cs="Google Sans Text" w:eastAsia="Google Sans Text" w:hAnsi="Google Sans Text"/>
          <w:color w:val="1f1f1f"/>
          <w:rtl w:val="0"/>
        </w:rPr>
        <w:t xml:space="preserve"> Zaawansowane obrabiarki numeryczne (frezarki, tokarki, centra obróbcze) realizujące procesy ubytkowe. Są podłączone do sieci (Industrial Ethernet) w celu pobierania programów (DNC) i wysyłania telemetrii (status, parametry skrawania).</w:t>
      </w:r>
    </w:p>
    <w:p w:rsidR="00000000" w:rsidDel="00000000" w:rsidP="00000000" w:rsidRDefault="00000000" w:rsidRPr="00000000" w14:paraId="000000A3">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Skanery NDT (Non-Destructive Testing):</w:t>
      </w:r>
      <w:r w:rsidDel="00000000" w:rsidR="00000000" w:rsidRPr="00000000">
        <w:rPr>
          <w:rFonts w:ascii="Google Sans Text" w:cs="Google Sans Text" w:eastAsia="Google Sans Text" w:hAnsi="Google Sans Text"/>
          <w:color w:val="1f1f1f"/>
          <w:rtl w:val="0"/>
        </w:rPr>
        <w:t xml:space="preserve"> Specjalistyczne urządzenia pomiarowe (np. głowice ultradźwiękowe Phased Array, systemy radiografii cyfrowej, tomografy komputerowe CT) służące do wykrywania wad wewnętrznych i powierzchniowych.</w:t>
      </w:r>
    </w:p>
    <w:p w:rsidR="00000000" w:rsidDel="00000000" w:rsidP="00000000" w:rsidRDefault="00000000" w:rsidRPr="00000000" w14:paraId="000000A4">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Terminale Mobilne:</w:t>
      </w:r>
      <w:r w:rsidDel="00000000" w:rsidR="00000000" w:rsidRPr="00000000">
        <w:rPr>
          <w:rFonts w:ascii="Google Sans Text" w:cs="Google Sans Text" w:eastAsia="Google Sans Text" w:hAnsi="Google Sans Text"/>
          <w:color w:val="1f1f1f"/>
          <w:rtl w:val="0"/>
        </w:rPr>
        <w:t xml:space="preserve"> Wzmocnione tablety (Rugged Tablets) używane przez operatorów i kontrolerów jakości do dostępu do systemu MES, wizualizacji modeli 3D i wprowadzania danych bezpośrednio na stanowisku pracy.</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Oprogramowanie Systemowe i Protokoły (System Software &amp; Protocols)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Architektura technologiczna wykorzystuje specjalistyczne oprogramowanie systemowe i protokoły komunikacyjne, aby zapewnić wydajność, bezpieczeństwo i interoperacyjność.</w:t>
      </w:r>
    </w:p>
    <w:p w:rsidR="00000000" w:rsidDel="00000000" w:rsidP="00000000" w:rsidRDefault="00000000" w:rsidRPr="00000000" w14:paraId="000000A7">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DICONDE:</w:t>
      </w:r>
      <w:r w:rsidDel="00000000" w:rsidR="00000000" w:rsidRPr="00000000">
        <w:rPr>
          <w:rFonts w:ascii="Google Sans Text" w:cs="Google Sans Text" w:eastAsia="Google Sans Text" w:hAnsi="Google Sans Text"/>
          <w:color w:val="1f1f1f"/>
          <w:rtl w:val="0"/>
        </w:rPr>
        <w:t xml:space="preserve"> Standard branżowy do archiwizacji danych NDT. Gwarantuje, że zdjęcia rentgenowskie czy skany ultradźwiękowe wykonane dzisiaj będą czytelne i interpretowalne za 30 lat, niezależnie od zmian w oprogramowaniu dostawców sprzętu. Jest to fundament cyfrowej certyfikacji jakości.</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A8">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HPC Workload Manager (np. Slurm / PBS):</w:t>
      </w:r>
      <w:r w:rsidDel="00000000" w:rsidR="00000000" w:rsidRPr="00000000">
        <w:rPr>
          <w:rFonts w:ascii="Google Sans Text" w:cs="Google Sans Text" w:eastAsia="Google Sans Text" w:hAnsi="Google Sans Text"/>
          <w:color w:val="1f1f1f"/>
          <w:rtl w:val="0"/>
        </w:rPr>
        <w:t xml:space="preserve"> Oprogramowanie do zarządzania zasobami klastra HPC. Kolejkuje zadania symulacyjne, przydziela procesory i pamięć, zapewniając optymalne wykorzystanie drogiej infrastruktury obliczeniowej.</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A9">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Usługi Technologiczne:</w:t>
      </w:r>
    </w:p>
    <w:p w:rsidR="00000000" w:rsidDel="00000000" w:rsidP="00000000" w:rsidRDefault="00000000" w:rsidRPr="00000000" w14:paraId="000000AA">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"IoT Telemetry":</w:t>
      </w:r>
      <w:r w:rsidDel="00000000" w:rsidR="00000000" w:rsidRPr="00000000">
        <w:rPr>
          <w:rFonts w:ascii="Google Sans Text" w:cs="Google Sans Text" w:eastAsia="Google Sans Text" w:hAnsi="Google Sans Text"/>
          <w:color w:val="1f1f1f"/>
          <w:rtl w:val="0"/>
        </w:rPr>
        <w:t xml:space="preserve"> Usługa zbierania i agregacji danych strumieniowych z maszyn (temperatura, wibracje, obciążenie wrzeciona) w celu monitorowania procesu i predykcji awarii.</w:t>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"Secure File Storage":</w:t>
      </w:r>
      <w:r w:rsidDel="00000000" w:rsidR="00000000" w:rsidRPr="00000000">
        <w:rPr>
          <w:rFonts w:ascii="Google Sans Text" w:cs="Google Sans Text" w:eastAsia="Google Sans Text" w:hAnsi="Google Sans Text"/>
          <w:color w:val="1f1f1f"/>
          <w:rtl w:val="0"/>
        </w:rPr>
        <w:t xml:space="preserve"> Bezpieczny, szyfrowany magazyn plików (vault) dla wrażliwych danych inżynieryjnych (IP) oraz danych objętych restrykcjami eksportowymi (np. wojskowymi), zapewniający zgodność z wymogami bezpieczeństwa informacji.</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Relacje Technologiczne w Modelu ArchiMate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Zgodnie z wymogami zadania, model architektury zawiera następujące sformalizowane relacje technologiczne:</w:t>
      </w:r>
    </w:p>
    <w:p w:rsidR="00000000" w:rsidDel="00000000" w:rsidP="00000000" w:rsidRDefault="00000000" w:rsidRPr="00000000" w14:paraId="000000AE">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Sieć (Secure Factory Network) -- Association --&gt; Węzeł (PLM Server):</w:t>
      </w:r>
      <w:r w:rsidDel="00000000" w:rsidR="00000000" w:rsidRPr="00000000">
        <w:rPr>
          <w:rFonts w:ascii="Google Sans Text" w:cs="Google Sans Text" w:eastAsia="Google Sans Text" w:hAnsi="Google Sans Text"/>
          <w:color w:val="1f1f1f"/>
          <w:rtl w:val="0"/>
        </w:rPr>
        <w:t xml:space="preserve"> Reprezentuje fizyczne i logiczne podłączenie serwera PLM do bezpiecznej sieci fabrycznej.</w:t>
      </w:r>
    </w:p>
    <w:p w:rsidR="00000000" w:rsidDel="00000000" w:rsidP="00000000" w:rsidRDefault="00000000" w:rsidRPr="00000000" w14:paraId="000000AF">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Urządzenie (Skaner NDT) -- Assignment --&gt; Węzeł (Edge Gateway):</w:t>
      </w:r>
      <w:r w:rsidDel="00000000" w:rsidR="00000000" w:rsidRPr="00000000">
        <w:rPr>
          <w:rFonts w:ascii="Google Sans Text" w:cs="Google Sans Text" w:eastAsia="Google Sans Text" w:hAnsi="Google Sans Text"/>
          <w:color w:val="1f1f1f"/>
          <w:rtl w:val="0"/>
        </w:rPr>
        <w:t xml:space="preserve"> Urządzenie pomiarowe jest logicznie przypisane do bramki brzegowej, która pośredniczy w transmisji danych.</w:t>
      </w:r>
    </w:p>
    <w:p w:rsidR="00000000" w:rsidDel="00000000" w:rsidP="00000000" w:rsidRDefault="00000000" w:rsidRPr="00000000" w14:paraId="000000B0">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Węzeł (PLM Server) -- Assignment --&gt; Artefakt (Raport NDT):</w:t>
      </w:r>
      <w:r w:rsidDel="00000000" w:rsidR="00000000" w:rsidRPr="00000000">
        <w:rPr>
          <w:rFonts w:ascii="Google Sans Text" w:cs="Google Sans Text" w:eastAsia="Google Sans Text" w:hAnsi="Google Sans Text"/>
          <w:color w:val="1f1f1f"/>
          <w:rtl w:val="0"/>
        </w:rPr>
        <w:t xml:space="preserve"> Serwer PLM zarządza cyklem życia pliku raportu z badań.</w:t>
      </w:r>
    </w:p>
    <w:p w:rsidR="00000000" w:rsidDel="00000000" w:rsidP="00000000" w:rsidRDefault="00000000" w:rsidRPr="00000000" w14:paraId="000000B1">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Węzeł (HPC Cluster) -- Assignment --&gt; Oprogramowanie Systemowe (Symulator CAE):</w:t>
      </w:r>
      <w:r w:rsidDel="00000000" w:rsidR="00000000" w:rsidRPr="00000000">
        <w:rPr>
          <w:rFonts w:ascii="Google Sans Text" w:cs="Google Sans Text" w:eastAsia="Google Sans Text" w:hAnsi="Google Sans Text"/>
          <w:color w:val="1f1f1f"/>
          <w:rtl w:val="0"/>
        </w:rPr>
        <w:t xml:space="preserve"> Klaster obliczeniowy jest środowiskiem uruchomieniowym dla oprogramowania symulacyjnego.</w:t>
      </w:r>
    </w:p>
    <w:p w:rsidR="00000000" w:rsidDel="00000000" w:rsidP="00000000" w:rsidRDefault="00000000" w:rsidRPr="00000000" w14:paraId="000000B2">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Urządzenie (Skaner NDT) -- Realization --&gt; Usługa Technologiczna ("Telemetry NDT"):</w:t>
      </w:r>
      <w:r w:rsidDel="00000000" w:rsidR="00000000" w:rsidRPr="00000000">
        <w:rPr>
          <w:rFonts w:ascii="Google Sans Text" w:cs="Google Sans Text" w:eastAsia="Google Sans Text" w:hAnsi="Google Sans Text"/>
          <w:color w:val="1f1f1f"/>
          <w:rtl w:val="0"/>
        </w:rPr>
        <w:t xml:space="preserve"> Fizyczny skaner realizuje abstrakcyjną usługę dostarczania danych pomiarowych do systemu.</w:t>
      </w:r>
    </w:p>
    <w:p w:rsidR="00000000" w:rsidDel="00000000" w:rsidP="00000000" w:rsidRDefault="00000000" w:rsidRPr="00000000" w14:paraId="000000B3">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Oprogramowanie Systemowe (OS Systemowy) -- Realization --&gt; Usługa Technologiczna ("Secure storage"):</w:t>
      </w:r>
      <w:r w:rsidDel="00000000" w:rsidR="00000000" w:rsidRPr="00000000">
        <w:rPr>
          <w:rFonts w:ascii="Google Sans Text" w:cs="Google Sans Text" w:eastAsia="Google Sans Text" w:hAnsi="Google Sans Text"/>
          <w:color w:val="1f1f1f"/>
          <w:rtl w:val="0"/>
        </w:rPr>
        <w:t xml:space="preserve"> System operacyjny serwera realizuje usługę bezpiecznego przechowywania danych na dyskach.</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Warstwa Motywacji i Wymagań (Motivation &amp; Requirements)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 warstwa łączy cele biznesowe z konkretnymi decyzjami architektonicznymi, wyjaśniając "dlaczego" zmiana jest konieczna i jakie warunki musi spełnić system docelowy.</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Drivery i Cele Strategiczne</w:t>
      </w:r>
    </w:p>
    <w:p w:rsidR="00000000" w:rsidDel="00000000" w:rsidP="00000000" w:rsidRDefault="00000000" w:rsidRPr="00000000" w14:paraId="000000B7">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Driver:</w:t>
      </w:r>
      <w:r w:rsidDel="00000000" w:rsidR="00000000" w:rsidRPr="00000000">
        <w:rPr>
          <w:rFonts w:ascii="Google Sans Text" w:cs="Google Sans Text" w:eastAsia="Google Sans Text" w:hAnsi="Google Sans Text"/>
          <w:color w:val="1f1f1f"/>
          <w:rtl w:val="0"/>
        </w:rPr>
        <w:t xml:space="preserve"> Rosnąca presja regulacyjna na precyzję certyfikacji oraz presja rynkowa na skrócenie czasu wprowadzania produktów na rynek (Time-to-Market).</w:t>
      </w:r>
    </w:p>
    <w:p w:rsidR="00000000" w:rsidDel="00000000" w:rsidP="00000000" w:rsidRDefault="00000000" w:rsidRPr="00000000" w14:paraId="000000B8">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Cel:</w:t>
      </w:r>
      <w:r w:rsidDel="00000000" w:rsidR="00000000" w:rsidRPr="00000000">
        <w:rPr>
          <w:rFonts w:ascii="Google Sans Text" w:cs="Google Sans Text" w:eastAsia="Google Sans Text" w:hAnsi="Google Sans Text"/>
          <w:color w:val="1f1f1f"/>
          <w:rtl w:val="0"/>
        </w:rPr>
        <w:t xml:space="preserve"> Skrócenie czasu reakcji na zmiany inżynieryjne. -&gt; </w:t>
      </w:r>
      <w:r w:rsidDel="00000000" w:rsidR="00000000" w:rsidRPr="00000000">
        <w:rPr>
          <w:rFonts w:ascii="Google Sans Text" w:cs="Google Sans Text" w:eastAsia="Google Sans Text" w:hAnsi="Google Sans Text"/>
          <w:b w:val="1"/>
          <w:bCs w:val="1"/>
          <w:color w:val="1f1f1f"/>
          <w:rtl w:val="0"/>
        </w:rPr>
        <w:t xml:space="preserve">Outcome:</w:t>
      </w:r>
      <w:r w:rsidDel="00000000" w:rsidR="00000000" w:rsidRPr="00000000">
        <w:rPr>
          <w:rFonts w:ascii="Google Sans Text" w:cs="Google Sans Text" w:eastAsia="Google Sans Text" w:hAnsi="Google Sans Text"/>
          <w:color w:val="1f1f1f"/>
          <w:rtl w:val="0"/>
        </w:rPr>
        <w:t xml:space="preserve"> Szybsze wdrażanie poprawek, ulepszeń i nowych wariantów produktu, co przekłada się na przewagę konkurencyjną.</w:t>
      </w:r>
    </w:p>
    <w:p w:rsidR="00000000" w:rsidDel="00000000" w:rsidP="00000000" w:rsidRDefault="00000000" w:rsidRPr="00000000" w14:paraId="000000B9">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Cel:</w:t>
      </w:r>
      <w:r w:rsidDel="00000000" w:rsidR="00000000" w:rsidRPr="00000000">
        <w:rPr>
          <w:rFonts w:ascii="Google Sans Text" w:cs="Google Sans Text" w:eastAsia="Google Sans Text" w:hAnsi="Google Sans Text"/>
          <w:color w:val="1f1f1f"/>
          <w:rtl w:val="0"/>
        </w:rPr>
        <w:t xml:space="preserve"> Redukcja kosztów jakości (Cost of Poor Quality). -&gt; </w:t>
      </w:r>
      <w:r w:rsidDel="00000000" w:rsidR="00000000" w:rsidRPr="00000000">
        <w:rPr>
          <w:rFonts w:ascii="Google Sans Text" w:cs="Google Sans Text" w:eastAsia="Google Sans Text" w:hAnsi="Google Sans Text"/>
          <w:b w:val="1"/>
          <w:bCs w:val="1"/>
          <w:color w:val="1f1f1f"/>
          <w:rtl w:val="0"/>
        </w:rPr>
        <w:t xml:space="preserve">Outcome:</w:t>
      </w:r>
      <w:r w:rsidDel="00000000" w:rsidR="00000000" w:rsidRPr="00000000">
        <w:rPr>
          <w:rFonts w:ascii="Google Sans Text" w:cs="Google Sans Text" w:eastAsia="Google Sans Text" w:hAnsi="Google Sans Text"/>
          <w:color w:val="1f1f1f"/>
          <w:rtl w:val="0"/>
        </w:rPr>
        <w:t xml:space="preserve"> Mniejsza ilość złomu (Scrap), szybsze i trafniejsze decyzje MRB, mniejsze ryzyko kar umownych za opóźnienia dostaw.</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Wymagania (Requirements)</w:t>
      </w:r>
    </w:p>
    <w:p w:rsidR="00000000" w:rsidDel="00000000" w:rsidP="00000000" w:rsidRDefault="00000000" w:rsidRPr="00000000" w14:paraId="000000BB">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Wymaganie Certyfikacyjne:</w:t>
      </w:r>
      <w:r w:rsidDel="00000000" w:rsidR="00000000" w:rsidRPr="00000000">
        <w:rPr>
          <w:rFonts w:ascii="Google Sans Text" w:cs="Google Sans Text" w:eastAsia="Google Sans Text" w:hAnsi="Google Sans Text"/>
          <w:color w:val="1f1f1f"/>
          <w:rtl w:val="0"/>
        </w:rPr>
        <w:t xml:space="preserve"> System musi zapewniać </w:t>
      </w:r>
      <w:r w:rsidDel="00000000" w:rsidR="00000000" w:rsidRPr="00000000">
        <w:rPr>
          <w:rFonts w:ascii="Google Sans Text" w:cs="Google Sans Text" w:eastAsia="Google Sans Text" w:hAnsi="Google Sans Text"/>
          <w:b w:val="1"/>
          <w:bCs w:val="1"/>
          <w:color w:val="1f1f1f"/>
          <w:rtl w:val="0"/>
        </w:rPr>
        <w:t xml:space="preserve">pełną identyfikowalność (Traceability)</w:t>
      </w:r>
      <w:r w:rsidDel="00000000" w:rsidR="00000000" w:rsidRPr="00000000">
        <w:rPr>
          <w:rFonts w:ascii="Google Sans Text" w:cs="Google Sans Text" w:eastAsia="Google Sans Text" w:hAnsi="Google Sans Text"/>
          <w:color w:val="1f1f1f"/>
          <w:rtl w:val="0"/>
        </w:rPr>
        <w:t xml:space="preserve"> wszystkich zmian w strukturach eBOM/mBOM oraz pełną historię decyzji MRB dla każdego wyprodukowanego numeru seryjnego (Digital Thread). Dane muszą być trwale powiązane i łatwe do odzyskania podczas audytu.</w:t>
      </w:r>
    </w:p>
    <w:p w:rsidR="00000000" w:rsidDel="00000000" w:rsidP="00000000" w:rsidRDefault="00000000" w:rsidRPr="00000000" w14:paraId="000000BC">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Wymaganie Funkcjonalne:</w:t>
      </w:r>
      <w:r w:rsidDel="00000000" w:rsidR="00000000" w:rsidRPr="00000000">
        <w:rPr>
          <w:rFonts w:ascii="Google Sans Text" w:cs="Google Sans Text" w:eastAsia="Google Sans Text" w:hAnsi="Google Sans Text"/>
          <w:color w:val="1f1f1f"/>
          <w:rtl w:val="0"/>
        </w:rPr>
        <w:t xml:space="preserve"> Integracja PLM-MES musi wspierać mechanizmy automatycznej walidacji spójności danych przy transferze BOM (Zero błędów translacji). System musi blokować produkcję w przypadku wykrycia rozbieżności wersji.</w:t>
      </w:r>
    </w:p>
    <w:p w:rsidR="00000000" w:rsidDel="00000000" w:rsidP="00000000" w:rsidRDefault="00000000" w:rsidRPr="00000000" w14:paraId="000000BD">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Wymaganie Wydajnościowe:</w:t>
      </w:r>
      <w:r w:rsidDel="00000000" w:rsidR="00000000" w:rsidRPr="00000000">
        <w:rPr>
          <w:rFonts w:ascii="Google Sans Text" w:cs="Google Sans Text" w:eastAsia="Google Sans Text" w:hAnsi="Google Sans Text"/>
          <w:color w:val="1f1f1f"/>
          <w:rtl w:val="0"/>
        </w:rPr>
        <w:t xml:space="preserve"> System symulacyjny (HPC) zintegrowany z procesem MRB musi dostarczać wyniki analizy wpływu wady w czasie poniżej 4 godzin, aby nie blokować przepływu produkcji i nie powodować zatorów.</w:t>
      </w:r>
    </w:p>
    <w:p w:rsidR="00000000" w:rsidDel="00000000" w:rsidP="00000000" w:rsidRDefault="00000000" w:rsidRPr="00000000" w14:paraId="000000BE">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Wymaganie Zgodności (Compliance):</w:t>
      </w:r>
      <w:r w:rsidDel="00000000" w:rsidR="00000000" w:rsidRPr="00000000">
        <w:rPr>
          <w:rFonts w:ascii="Google Sans Text" w:cs="Google Sans Text" w:eastAsia="Google Sans Text" w:hAnsi="Google Sans Text"/>
          <w:color w:val="1f1f1f"/>
          <w:rtl w:val="0"/>
        </w:rPr>
        <w:t xml:space="preserve"> System musi spełniać wymogi normy AS9100 Rev D, w szczególności w zakresie zarządzania konfiguracją (klauzula 8.1.2) i kontroli wyrobów niezgodnych (klauzula 8.7).</w:t>
      </w:r>
    </w:p>
    <w:p w:rsidR="00000000" w:rsidDel="00000000" w:rsidP="00000000" w:rsidRDefault="00000000" w:rsidRPr="00000000" w14:paraId="000000BF">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Pryncypium Architektoniczne:</w:t>
      </w:r>
      <w:r w:rsidDel="00000000" w:rsidR="00000000" w:rsidRPr="00000000">
        <w:rPr>
          <w:rFonts w:ascii="Google Sans Text" w:cs="Google Sans Text" w:eastAsia="Google Sans Text" w:hAnsi="Google Sans Text"/>
          <w:color w:val="1f1f1f"/>
          <w:rtl w:val="0"/>
        </w:rPr>
        <w:t xml:space="preserve"> "Jedna konfiguracja w PLM" - System PLM jest jedynym, nadrzędnym źródłem prawdy o definicji produktu. Żadne zmiany w strukturze produktu czy procesie nie mogą być wprowadzane lokalnie w MES bez autoryzacji i śladu w PLM.</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Analiza Luk i Plan Migracji (Gap Analysis &amp; Migration)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Przejście ze stanu obecnego (AS-IS) do docelowego (TO-BE) jest procesem złożonym, wymagającym precyzyjnego planowania i zarządzania zmianą, aby nie zakłócić bieżącej produkcji.</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Analiza Luk (Gap Analysis)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Obszar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Stan Obecny (AS-IS)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Stan Docelowy (TO-BE)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Luka (Gap)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Akcja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Integracja Danych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Ręczne przenoszenie danych między CAD, PLM a MES. "Wyspy automatyzacji".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Automatyczna, dwukierunkowa synchronizacja (Digital Thread). Seamless data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Brak zautomatyzowanych interfejsów systemowych i wspólnego modelu danych.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Wdrożenie korporacyjnej szyny integracyjnej (ESB) i dedykowanych konektorów PLM-MES.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Zarządzanie Zmianą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Obieg papierowy lub mailowy ECR/ECO. Brak wizualizacji wpływu zmiany.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 pełni cyfrowy Workflow w PLM. Wizualna analiza wpływu (Visual Impact Analysis) na modelu 3D.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Procesy oparte na dokumentach niestrukturalnych, brak narzędzi wizualizacji.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Cyfryzacja procesu ECR/ECO w PLM, wdrożenie narzędzi wizualizacji 3D.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Traceability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Częściowa, rozproszona w segregatorach, plikach Excel i systemach legacy. Trudna do audytu.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Pełna cyfrowa genealogia dostępna "jednym kliknięciem".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Brak centralnego repozytorium historii produktu (Product History 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Implementacja modułu Genealogy w MES, zasilanego danymi z PLM i hali produkcyjnej.</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Analiza MRB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Decyzje oparte na subiektywnym doświadczeniu ekspertów i statycznych rysunkach 2D.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Decyzje wspierane zaawansowanymi symulacjami na Cyfrowym Bliźniaku 3D.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Brak narzędzi symulacyjnych zintegrowanych z procesem jakości.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Integracja klastra HPC i narzędzi CAE z workflow procesu MRB/NC.</w:t>
            </w:r>
          </w:p>
        </w:tc>
      </w:tr>
    </w:tbl>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Plan Migracji (Migration Plan)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Plan wdrożenia został podzielony na logiczne pakiety robocze (Work Packages) realizowane etapowo, co pozwala na minimalizację ryzyka operacyjnego i stopniowe budowanie wartości.</w:t>
      </w:r>
    </w:p>
    <w:p w:rsidR="00000000" w:rsidDel="00000000" w:rsidP="00000000" w:rsidRDefault="00000000" w:rsidRPr="00000000" w14:paraId="000000DE">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Faza 1: Fundamenty Cyfrowe (Miesiące 1-6):</w:t>
      </w:r>
    </w:p>
    <w:p w:rsidR="00000000" w:rsidDel="00000000" w:rsidP="00000000" w:rsidRDefault="00000000" w:rsidRPr="00000000" w14:paraId="000000DF">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Konsolidacja i czyszczenie danych inżynieryjnych w jednym, centralnym systemie PLM.</w:t>
      </w:r>
    </w:p>
    <w:p w:rsidR="00000000" w:rsidDel="00000000" w:rsidP="00000000" w:rsidRDefault="00000000" w:rsidRPr="00000000" w14:paraId="000000E0">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Definicja i standaryzacja procesów ECR/ECO w wersji cyfrowej.</w:t>
      </w:r>
    </w:p>
    <w:p w:rsidR="00000000" w:rsidDel="00000000" w:rsidP="00000000" w:rsidRDefault="00000000" w:rsidRPr="00000000" w14:paraId="000000E1">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Pilotażowe wdrożenie stanowisk MES na wybranych gniazdach produkcyjnych (oznaczenie w modelu migracji: </w:t>
      </w:r>
      <w:r w:rsidDel="00000000" w:rsidR="00000000" w:rsidRPr="00000000">
        <w:rPr>
          <w:rFonts w:ascii="Google Sans Text" w:cs="Google Sans Text" w:eastAsia="Google Sans Text" w:hAnsi="Google Sans Text"/>
          <w:b w:val="1"/>
          <w:bCs w:val="1"/>
          <w:color w:val="1f1f1f"/>
          <w:rtl w:val="0"/>
        </w:rPr>
        <w:t xml:space="preserve">Zielony</w:t>
      </w:r>
      <w:r w:rsidDel="00000000" w:rsidR="00000000" w:rsidRPr="00000000">
        <w:rPr>
          <w:rFonts w:ascii="Google Sans Text" w:cs="Google Sans Text" w:eastAsia="Google Sans Text" w:hAnsi="Google Sans Text"/>
          <w:color w:val="1f1f1f"/>
          <w:rtl w:val="0"/>
        </w:rPr>
        <w:t xml:space="preserve"> - nowe komponenty).</w:t>
      </w:r>
    </w:p>
    <w:p w:rsidR="00000000" w:rsidDel="00000000" w:rsidP="00000000" w:rsidRDefault="00000000" w:rsidRPr="00000000" w14:paraId="000000E2">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Faza 2: Integracja PLM-MES (Miesiące 7-12):</w:t>
      </w:r>
    </w:p>
    <w:p w:rsidR="00000000" w:rsidDel="00000000" w:rsidP="00000000" w:rsidRDefault="00000000" w:rsidRPr="00000000" w14:paraId="000000E3">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Uruchomienie automatycznego interfejsu wymiany struktur BOM/BoP.</w:t>
      </w:r>
    </w:p>
    <w:p w:rsidR="00000000" w:rsidDel="00000000" w:rsidP="00000000" w:rsidRDefault="00000000" w:rsidRPr="00000000" w14:paraId="000000E4">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Stopniowe wycofywanie papierowych kart obiegowych i starych systemów PDM (oznaczenie w modelu migracji: </w:t>
      </w:r>
      <w:r w:rsidDel="00000000" w:rsidR="00000000" w:rsidRPr="00000000">
        <w:rPr>
          <w:rFonts w:ascii="Google Sans Text" w:cs="Google Sans Text" w:eastAsia="Google Sans Text" w:hAnsi="Google Sans Text"/>
          <w:b w:val="1"/>
          <w:bCs w:val="1"/>
          <w:color w:val="1f1f1f"/>
          <w:rtl w:val="0"/>
        </w:rPr>
        <w:t xml:space="preserve">Czerwony</w:t>
      </w:r>
      <w:r w:rsidDel="00000000" w:rsidR="00000000" w:rsidRPr="00000000">
        <w:rPr>
          <w:rFonts w:ascii="Google Sans Text" w:cs="Google Sans Text" w:eastAsia="Google Sans Text" w:hAnsi="Google Sans Text"/>
          <w:color w:val="1f1f1f"/>
          <w:rtl w:val="0"/>
        </w:rPr>
        <w:t xml:space="preserve"> - elementy do wyłączenia).</w:t>
      </w:r>
    </w:p>
    <w:p w:rsidR="00000000" w:rsidDel="00000000" w:rsidP="00000000" w:rsidRDefault="00000000" w:rsidRPr="00000000" w14:paraId="000000E5">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Modyfikacja sterowników maszyn CNC i stacji NDT do współpracy z siecią fabryczną (oznaczenie w modelu migracji: </w:t>
      </w:r>
      <w:r w:rsidDel="00000000" w:rsidR="00000000" w:rsidRPr="00000000">
        <w:rPr>
          <w:rFonts w:ascii="Google Sans Text" w:cs="Google Sans Text" w:eastAsia="Google Sans Text" w:hAnsi="Google Sans Text"/>
          <w:b w:val="1"/>
          <w:bCs w:val="1"/>
          <w:color w:val="1f1f1f"/>
          <w:rtl w:val="0"/>
        </w:rPr>
        <w:t xml:space="preserve">Niebieski</w:t>
      </w:r>
      <w:r w:rsidDel="00000000" w:rsidR="00000000" w:rsidRPr="00000000">
        <w:rPr>
          <w:rFonts w:ascii="Google Sans Text" w:cs="Google Sans Text" w:eastAsia="Google Sans Text" w:hAnsi="Google Sans Text"/>
          <w:color w:val="1f1f1f"/>
          <w:rtl w:val="0"/>
        </w:rPr>
        <w:t xml:space="preserve"> - modyfikacja).</w:t>
      </w:r>
    </w:p>
    <w:p w:rsidR="00000000" w:rsidDel="00000000" w:rsidP="00000000" w:rsidRDefault="00000000" w:rsidRPr="00000000" w14:paraId="000000E6">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Faza 3: Zaawansowana Analityka i MRB (Miesiące 13-18):</w:t>
      </w:r>
    </w:p>
    <w:p w:rsidR="00000000" w:rsidDel="00000000" w:rsidP="00000000" w:rsidRDefault="00000000" w:rsidRPr="00000000" w14:paraId="000000E7">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Wdrożenie klastra HPC i pełna integracja z procesem obsługi niezgodności.</w:t>
      </w:r>
    </w:p>
    <w:p w:rsidR="00000000" w:rsidDel="00000000" w:rsidP="00000000" w:rsidRDefault="00000000" w:rsidRPr="00000000" w14:paraId="000000E8">
      <w:pPr>
        <w:numPr>
          <w:ilvl w:val="1"/>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Uruchomienie pełnego Cyfrowego Bliźniaka dla procesów certyfikacyjnych i symulacji.</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Mapa Wpływu Zmiany (Change Impact Map)</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Mapa ta wizualizuje łańcuch przyczynowo-skutkowy inwestycji technologicznych na cele biznesowe: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Cel Biznesowy (Redukcja kosztu NCR) -&gt; Wymaganie (Szybka, symulacyjna analiza MRB) -&gt; Produkt Projektowy (Łącznik PLM-HPC) -&gt; Usługa Aplikacyjna (Symulacja Wady na Bliźniaku) -&gt; Proces Biznesowy (Non-conformance handling) -&gt; Usługa Technologiczna (High Performance Computing) -&gt; Infrastruktura (HPC Cluster).</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Taka wizualizacja pozwala zarządowi zrozumieć, w jaki sposób zakup serwerów HPC przekłada się bezpośrednio na redukcję kosztów operacyjnych i poprawę wyników finansowych.</w:t>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Metryki, Ryzyka i Zgodność</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Metryki Sukcesu (KPIs)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Zdefiniowane metryki pozwolą na bieżące monitorowanie postępów i efektywności transformacji:</w:t>
      </w:r>
    </w:p>
    <w:p w:rsidR="00000000" w:rsidDel="00000000" w:rsidP="00000000" w:rsidRDefault="00000000" w:rsidRPr="00000000" w14:paraId="000000F0">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Czas cyklu ECR/ECO:</w:t>
      </w:r>
      <w:r w:rsidDel="00000000" w:rsidR="00000000" w:rsidRPr="00000000">
        <w:rPr>
          <w:rFonts w:ascii="Google Sans Text" w:cs="Google Sans Text" w:eastAsia="Google Sans Text" w:hAnsi="Google Sans Text"/>
          <w:color w:val="1f1f1f"/>
          <w:rtl w:val="0"/>
        </w:rPr>
        <w:t xml:space="preserve"> Średni czas mierzony od momentu zgłoszenia ECR do pełnego wdrożenia zmiany na produkcji (zamknięcie ECO). Cel: redukcja o 30%.</w:t>
      </w:r>
    </w:p>
    <w:p w:rsidR="00000000" w:rsidDel="00000000" w:rsidP="00000000" w:rsidRDefault="00000000" w:rsidRPr="00000000" w14:paraId="000000F1">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Koszt NCR:</w:t>
      </w:r>
      <w:r w:rsidDel="00000000" w:rsidR="00000000" w:rsidRPr="00000000">
        <w:rPr>
          <w:rFonts w:ascii="Google Sans Text" w:cs="Google Sans Text" w:eastAsia="Google Sans Text" w:hAnsi="Google Sans Text"/>
          <w:color w:val="1f1f1f"/>
          <w:rtl w:val="0"/>
        </w:rPr>
        <w:t xml:space="preserve"> Łączna wartość finansowa zezłomowanych materiałów oraz roboczogodzin poświęconych na naprawy i analizy inżynierskie. Cel: redukcja o 20%.</w:t>
      </w:r>
    </w:p>
    <w:p w:rsidR="00000000" w:rsidDel="00000000" w:rsidP="00000000" w:rsidRDefault="00000000" w:rsidRPr="00000000" w14:paraId="000000F2">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Spójność Konfiguracji:</w:t>
      </w:r>
      <w:r w:rsidDel="00000000" w:rsidR="00000000" w:rsidRPr="00000000">
        <w:rPr>
          <w:rFonts w:ascii="Google Sans Text" w:cs="Google Sans Text" w:eastAsia="Google Sans Text" w:hAnsi="Google Sans Text"/>
          <w:color w:val="1f1f1f"/>
          <w:rtl w:val="0"/>
        </w:rPr>
        <w:t xml:space="preserve"> Liczba wykrytych niezgodności wynikających bezpośrednio z użycia nieaktualnej dokumentacji na produkcji. Cel: 0.</w:t>
      </w:r>
    </w:p>
    <w:p w:rsidR="00000000" w:rsidDel="00000000" w:rsidP="00000000" w:rsidRDefault="00000000" w:rsidRPr="00000000" w14:paraId="000000F3">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Czas decyzji MRB:</w:t>
      </w:r>
      <w:r w:rsidDel="00000000" w:rsidR="00000000" w:rsidRPr="00000000">
        <w:rPr>
          <w:rFonts w:ascii="Google Sans Text" w:cs="Google Sans Text" w:eastAsia="Google Sans Text" w:hAnsi="Google Sans Text"/>
          <w:color w:val="1f1f1f"/>
          <w:rtl w:val="0"/>
        </w:rPr>
        <w:t xml:space="preserve"> Średni czas trwania procesu decyzyjnego dla niezgodności nietrywialnych (wymagających analizy). Cel: &lt; 8 godzin.</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Zarządzanie Ryzykiem i Plan Mitigacji</w:t>
      </w:r>
    </w:p>
    <w:p w:rsidR="00000000" w:rsidDel="00000000" w:rsidP="00000000" w:rsidRDefault="00000000" w:rsidRPr="00000000" w14:paraId="000000F5">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Ryzyko: Odmowa Certyfikacji (Certification Denial):</w:t>
      </w:r>
      <w:r w:rsidDel="00000000" w:rsidR="00000000" w:rsidRPr="00000000">
        <w:rPr>
          <w:rFonts w:ascii="Google Sans Text" w:cs="Google Sans Text" w:eastAsia="Google Sans Text" w:hAnsi="Google Sans Text"/>
          <w:color w:val="1f1f1f"/>
          <w:rtl w:val="0"/>
        </w:rPr>
        <w:t xml:space="preserve"> Ryzyko, że nadzór lotniczy zakwestionuje integralność lub czytelność danych cyfrowych zastępujących papier.</w:t>
      </w:r>
    </w:p>
    <w:p w:rsidR="00000000" w:rsidDel="00000000" w:rsidP="00000000" w:rsidRDefault="00000000" w:rsidRPr="00000000" w14:paraId="000000F6">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Mitigacja:</w:t>
      </w:r>
      <w:r w:rsidDel="00000000" w:rsidR="00000000" w:rsidRPr="00000000">
        <w:rPr>
          <w:rFonts w:ascii="Google Sans Text" w:cs="Google Sans Text" w:eastAsia="Google Sans Text" w:hAnsi="Google Sans Text"/>
          <w:color w:val="1f1f1f"/>
          <w:rtl w:val="0"/>
        </w:rPr>
        <w:t xml:space="preserve"> Walidacja systemu zgodnie z wytycznymi FAA/EASA (np. DO-178C dla software'u). Stosowanie uznanych standardów długoterminowych (LOTAR, STEP AP242). Wczesne angażowanie audytorów w proces projektowania systemu.</w:t>
      </w:r>
    </w:p>
    <w:p w:rsidR="00000000" w:rsidDel="00000000" w:rsidP="00000000" w:rsidRDefault="00000000" w:rsidRPr="00000000" w14:paraId="000000F7">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Ryzyko: Opór Kulturowy (Resistance to Change):</w:t>
      </w:r>
      <w:r w:rsidDel="00000000" w:rsidR="00000000" w:rsidRPr="00000000">
        <w:rPr>
          <w:rFonts w:ascii="Google Sans Text" w:cs="Google Sans Text" w:eastAsia="Google Sans Text" w:hAnsi="Google Sans Text"/>
          <w:color w:val="1f1f1f"/>
          <w:rtl w:val="0"/>
        </w:rPr>
        <w:t xml:space="preserve"> Inżynierowie i operatorzy przyzwyczajeni do tradycyjnych metod mogą nieufnie podchodzić do pracy "bezpapierowej" i nowych narzędzi.</w:t>
      </w:r>
    </w:p>
    <w:p w:rsidR="00000000" w:rsidDel="00000000" w:rsidP="00000000" w:rsidRDefault="00000000" w:rsidRPr="00000000" w14:paraId="000000F8">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Mitigacja:</w:t>
      </w:r>
      <w:r w:rsidDel="00000000" w:rsidR="00000000" w:rsidRPr="00000000">
        <w:rPr>
          <w:rFonts w:ascii="Google Sans Text" w:cs="Google Sans Text" w:eastAsia="Google Sans Text" w:hAnsi="Google Sans Text"/>
          <w:color w:val="1f1f1f"/>
          <w:rtl w:val="0"/>
        </w:rPr>
        <w:t xml:space="preserve"> Kompleksowy program zarządzania zmianą (Change Management), intensywne szkolenia, włączenie kluczowych użytkowników (Key Users) w fazę projektowania i testowania (User-Centric Design), promowanie "cyfrowych championów".</w:t>
      </w:r>
    </w:p>
    <w:p w:rsidR="00000000" w:rsidDel="00000000" w:rsidP="00000000" w:rsidRDefault="00000000" w:rsidRPr="00000000" w14:paraId="000000F9">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Ryzyko: Cyberbezpieczeństwo (IP Theft / Sabotaż):</w:t>
      </w:r>
      <w:r w:rsidDel="00000000" w:rsidR="00000000" w:rsidRPr="00000000">
        <w:rPr>
          <w:rFonts w:ascii="Google Sans Text" w:cs="Google Sans Text" w:eastAsia="Google Sans Text" w:hAnsi="Google Sans Text"/>
          <w:color w:val="1f1f1f"/>
          <w:rtl w:val="0"/>
        </w:rPr>
        <w:t xml:space="preserve"> Głęboka integracja sieci IT i OT zwiększa powierzchnię ataku i ryzyko kradzieży własności intelektualnej lub sabotażu produkcji.</w:t>
      </w:r>
    </w:p>
    <w:p w:rsidR="00000000" w:rsidDel="00000000" w:rsidP="00000000" w:rsidRDefault="00000000" w:rsidRPr="00000000" w14:paraId="000000FA">
      <w:pPr>
        <w:numPr>
          <w:ilvl w:val="1"/>
          <w:numId w:val="4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Mitigacja:</w:t>
      </w:r>
      <w:r w:rsidDel="00000000" w:rsidR="00000000" w:rsidRPr="00000000">
        <w:rPr>
          <w:rFonts w:ascii="Google Sans Text" w:cs="Google Sans Text" w:eastAsia="Google Sans Text" w:hAnsi="Google Sans Text"/>
          <w:color w:val="1f1f1f"/>
          <w:rtl w:val="0"/>
        </w:rPr>
        <w:t xml:space="preserve"> Ścisła segmentacja sieci (Model Purdue), szyfrowanie danych w spoczynku i w transmisji, rygorystyczna kontrola dostępu (RBAC - Role Based Access Control), regularne audyty bezpieczeństwa i testy penetracyjne.</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Zgodność Regulacyjna (Compliance)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System został zaprojektowany z myślą o spełnieniu rygorystycznych norm i regulacji specyficznych dla branży lotniczej:</w:t>
      </w:r>
    </w:p>
    <w:p w:rsidR="00000000" w:rsidDel="00000000" w:rsidP="00000000" w:rsidRDefault="00000000" w:rsidRPr="00000000" w14:paraId="000000FD">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AS9100 Rev D:</w:t>
      </w:r>
      <w:r w:rsidDel="00000000" w:rsidR="00000000" w:rsidRPr="00000000">
        <w:rPr>
          <w:rFonts w:ascii="Google Sans Text" w:cs="Google Sans Text" w:eastAsia="Google Sans Text" w:hAnsi="Google Sans Text"/>
          <w:color w:val="1f1f1f"/>
          <w:rtl w:val="0"/>
        </w:rPr>
        <w:t xml:space="preserve"> System wspiera spełnienie kluczowych wymagań normy, w tym dotyczących zarządzania konfiguracją (klauzula 8.1.2), identyfikowalności (klauzula 8.5.2) oraz nadzoru nad wyrobami niezgodnymi (klauzula 8.7).</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FE">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Nadzór Lotniczy (EASA/FAA - Part 21):</w:t>
      </w:r>
      <w:r w:rsidDel="00000000" w:rsidR="00000000" w:rsidRPr="00000000">
        <w:rPr>
          <w:rFonts w:ascii="Google Sans Text" w:cs="Google Sans Text" w:eastAsia="Google Sans Text" w:hAnsi="Google Sans Text"/>
          <w:color w:val="1f1f1f"/>
          <w:rtl w:val="0"/>
        </w:rPr>
        <w:t xml:space="preserve"> Zapewnienie, że "Cyfrowy Bliźniak" jest wiarygodnym i dokładnym odwzorowaniem stanu faktycznego wyrobu, co jest podstawą do utrzymania zdatności do lotu (Airworthiness).</w:t>
      </w:r>
    </w:p>
    <w:p w:rsidR="00000000" w:rsidDel="00000000" w:rsidP="00000000" w:rsidRDefault="00000000" w:rsidRPr="00000000" w14:paraId="000000FF">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ITAR/Export Control:</w:t>
      </w:r>
      <w:r w:rsidDel="00000000" w:rsidR="00000000" w:rsidRPr="00000000">
        <w:rPr>
          <w:rFonts w:ascii="Google Sans Text" w:cs="Google Sans Text" w:eastAsia="Google Sans Text" w:hAnsi="Google Sans Text"/>
          <w:color w:val="1f1f1f"/>
          <w:rtl w:val="0"/>
        </w:rPr>
        <w:t xml:space="preserve"> Wdrożenie zaawansowanych mechanizmów kontroli dostępu do danych technicznych w systemach PLM i MES, aby zapobiec nieautoryzowanemu transferowi technologii (szczególnie w przypadku produkcji o podwójnym zastosowaniu - cywilnym i wojskowym).</w:t>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Podsumowanie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Przedstawiona w raporcie architektura korporacyjna dla zadania "Produkcja statków lotniczych" stanowi kompleksową i przemyślaną odpowiedź na wyzwania współczesnego przemysłu lotniczego. Poprzez strategiczną integrację systemów PLM i MES, wspartą zaawansowanymi technologiami takimi jak HPC i Cyfrowy Bliźniak, organizacja zyskuje zdolność do szybszego, tańszego i bezpieczniejszego wprowadzania innowacji.</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Kluczową wartością proponowanego rozwiązania jest utworzenie nieprzerwanej </w:t>
      </w:r>
      <w:r w:rsidDel="00000000" w:rsidR="00000000" w:rsidRPr="00000000">
        <w:rPr>
          <w:rFonts w:ascii="Google Sans Text" w:cs="Google Sans Text" w:eastAsia="Google Sans Text" w:hAnsi="Google Sans Text"/>
          <w:b w:val="1"/>
          <w:bCs w:val="1"/>
          <w:color w:val="1f1f1f"/>
          <w:rtl w:val="0"/>
        </w:rPr>
        <w:t xml:space="preserve">Cyfrowej Nici (Digital Thread)</w:t>
      </w:r>
      <w:r w:rsidDel="00000000" w:rsidR="00000000" w:rsidRPr="00000000">
        <w:rPr>
          <w:rFonts w:ascii="Google Sans Text" w:cs="Google Sans Text" w:eastAsia="Google Sans Text" w:hAnsi="Google Sans Text"/>
          <w:color w:val="1f1f1f"/>
          <w:rtl w:val="0"/>
        </w:rPr>
        <w:t xml:space="preserve">, która eliminuje bariery informacyjne i pozwala na zarządzanie cyklem życia produktu w oparciu o twarde dane, a nie domysły i dokumenty papierowe. Architektura oparta na otwartych standardach (STEP, DICONDE) i modułowej budowie zapewnia skalowalność i elastyczność niezbędną w dynamicznie zmieniającym się otoczeniu regulacyjnym i rynkowym. Wdrożenie tego planu nie tylko pozwoli osiągnąć założone cele KPI, ale fundamentalnie zmieni kulturę organizacji w kierunku Model-Based Enterprise, przygotowując ją na wyzwania przyszłości i zapewniając trwałą przewagę konkurencyjną.</w:t>
      </w:r>
    </w:p>
    <w:p w:rsidR="00000000" w:rsidDel="00000000" w:rsidP="00000000" w:rsidRDefault="00000000" w:rsidRPr="00000000" w14:paraId="0000010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Cytowane prace</w:t>
      </w:r>
    </w:p>
    <w:p w:rsidR="00000000" w:rsidDel="00000000" w:rsidP="00000000" w:rsidRDefault="00000000" w:rsidRPr="00000000" w14:paraId="00000104">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modelowanie 14.12.25.pdf</w:t>
      </w:r>
    </w:p>
    <w:p w:rsidR="00000000" w:rsidDel="00000000" w:rsidP="00000000" w:rsidRDefault="00000000" w:rsidRPr="00000000" w14:paraId="00000105">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Aerospace and Defense Companies Can Scale Quality With Integrated PLM and MES, otwierano: stycznia 16, 2026, </w:t>
      </w:r>
      <w:hyperlink r:id="rId6">
        <w:r w:rsidDel="00000000" w:rsidR="00000000" w:rsidRPr="00000000">
          <w:rPr>
            <w:rFonts w:ascii="Google Sans" w:cs="Google Sans" w:eastAsia="Google Sans" w:hAnsi="Google Sans"/>
            <w:color w:val="0000ee"/>
            <w:sz w:val="24"/>
            <w:szCs w:val="24"/>
            <w:u w:val="single"/>
            <w:rtl w:val="0"/>
          </w:rPr>
          <w:t xml:space="preserve">https://www.arenasolutions.com/blog/how-aerospace-and-defense-companies-can-scale-quality-with-integrated-plm-and-mes/</w:t>
        </w:r>
      </w:hyperlink>
      <w:r w:rsidDel="00000000" w:rsidR="00000000" w:rsidRPr="00000000">
        <w:rPr>
          <w:rtl w:val="0"/>
        </w:rPr>
      </w:r>
    </w:p>
    <w:p w:rsidR="00000000" w:rsidDel="00000000" w:rsidP="00000000" w:rsidRDefault="00000000" w:rsidRPr="00000000" w14:paraId="00000106">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Bluestar PLM for Aerospace &amp; Defence, otwierano: stycznia 16, 2026, </w:t>
      </w:r>
      <w:hyperlink r:id="rId7">
        <w:r w:rsidDel="00000000" w:rsidR="00000000" w:rsidRPr="00000000">
          <w:rPr>
            <w:rFonts w:ascii="Google Sans" w:cs="Google Sans" w:eastAsia="Google Sans" w:hAnsi="Google Sans"/>
            <w:color w:val="0000ee"/>
            <w:sz w:val="24"/>
            <w:szCs w:val="24"/>
            <w:u w:val="single"/>
            <w:rtl w:val="0"/>
          </w:rPr>
          <w:t xml:space="preserve">https://bluestarplm.com/industries/aerospace-defence/</w:t>
        </w:r>
      </w:hyperlink>
      <w:r w:rsidDel="00000000" w:rsidR="00000000" w:rsidRPr="00000000">
        <w:rPr>
          <w:rtl w:val="0"/>
        </w:rPr>
      </w:r>
    </w:p>
    <w:p w:rsidR="00000000" w:rsidDel="00000000" w:rsidP="00000000" w:rsidRDefault="00000000" w:rsidRPr="00000000" w14:paraId="0000010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Transforming Aerospace PLM with Aras Innovator, otwierano: stycznia 16, 2026, </w:t>
      </w:r>
      <w:hyperlink r:id="rId8">
        <w:r w:rsidDel="00000000" w:rsidR="00000000" w:rsidRPr="00000000">
          <w:rPr>
            <w:rFonts w:ascii="Google Sans" w:cs="Google Sans" w:eastAsia="Google Sans" w:hAnsi="Google Sans"/>
            <w:color w:val="0000ee"/>
            <w:sz w:val="24"/>
            <w:szCs w:val="24"/>
            <w:u w:val="single"/>
            <w:rtl w:val="0"/>
          </w:rPr>
          <w:t xml:space="preserve">https://aras.com/en/blog/transforming-aerospace-plm-with-aras-innovator</w:t>
        </w:r>
      </w:hyperlink>
      <w:r w:rsidDel="00000000" w:rsidR="00000000" w:rsidRPr="00000000">
        <w:rPr>
          <w:rtl w:val="0"/>
        </w:rPr>
      </w:r>
    </w:p>
    <w:p w:rsidR="00000000" w:rsidDel="00000000" w:rsidP="00000000" w:rsidRDefault="00000000" w:rsidRPr="00000000" w14:paraId="0000010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Composable MES for Aerospace and Defense Manufacturing - Tulip Interfaces, otwierano: stycznia 16, 2026, </w:t>
      </w:r>
      <w:hyperlink r:id="rId9">
        <w:r w:rsidDel="00000000" w:rsidR="00000000" w:rsidRPr="00000000">
          <w:rPr>
            <w:rFonts w:ascii="Google Sans" w:cs="Google Sans" w:eastAsia="Google Sans" w:hAnsi="Google Sans"/>
            <w:color w:val="0000ee"/>
            <w:sz w:val="24"/>
            <w:szCs w:val="24"/>
            <w:u w:val="single"/>
            <w:rtl w:val="0"/>
          </w:rPr>
          <w:t xml:space="preserve">https://tulip.co/industries/aerospace-defense/composable-mes/</w:t>
        </w:r>
      </w:hyperlink>
      <w:r w:rsidDel="00000000" w:rsidR="00000000" w:rsidRPr="00000000">
        <w:rPr>
          <w:rtl w:val="0"/>
        </w:rPr>
      </w:r>
    </w:p>
    <w:p w:rsidR="00000000" w:rsidDel="00000000" w:rsidP="00000000" w:rsidRDefault="00000000" w:rsidRPr="00000000" w14:paraId="00000109">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Aerospace &amp; Defense Needs PLM Software in 2025 - Siemens Teamcenter - CleVR, otwierano: stycznia 16, 2026, </w:t>
      </w:r>
      <w:hyperlink r:id="rId10">
        <w:r w:rsidDel="00000000" w:rsidR="00000000" w:rsidRPr="00000000">
          <w:rPr>
            <w:rFonts w:ascii="Google Sans" w:cs="Google Sans" w:eastAsia="Google Sans" w:hAnsi="Google Sans"/>
            <w:color w:val="0000ee"/>
            <w:sz w:val="24"/>
            <w:szCs w:val="24"/>
            <w:u w:val="single"/>
            <w:rtl w:val="0"/>
          </w:rPr>
          <w:t xml:space="preserve">https://www.clevr.com/blog/why-aerospace-defense-needs-plm-in-2025-siemens-teamcenter-for-aerospace-defense</w:t>
        </w:r>
      </w:hyperlink>
      <w:r w:rsidDel="00000000" w:rsidR="00000000" w:rsidRPr="00000000">
        <w:rPr>
          <w:rtl w:val="0"/>
        </w:rPr>
      </w:r>
    </w:p>
    <w:p w:rsidR="00000000" w:rsidDel="00000000" w:rsidP="00000000" w:rsidRDefault="00000000" w:rsidRPr="00000000" w14:paraId="0000010A">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 Engineering Change Request (ECR)? - PTC, otwierano: stycznia 16, 2026, </w:t>
      </w:r>
      <w:hyperlink r:id="rId11">
        <w:r w:rsidDel="00000000" w:rsidR="00000000" w:rsidRPr="00000000">
          <w:rPr>
            <w:rFonts w:ascii="Google Sans" w:cs="Google Sans" w:eastAsia="Google Sans" w:hAnsi="Google Sans"/>
            <w:color w:val="0000ee"/>
            <w:sz w:val="24"/>
            <w:szCs w:val="24"/>
            <w:u w:val="single"/>
            <w:rtl w:val="0"/>
          </w:rPr>
          <w:t xml:space="preserve">https://www.ptc.com/en/blogs/plm/what-is-an-engineering-change-request</w:t>
        </w:r>
      </w:hyperlink>
      <w:r w:rsidDel="00000000" w:rsidR="00000000" w:rsidRPr="00000000">
        <w:rPr>
          <w:rtl w:val="0"/>
        </w:rPr>
      </w:r>
    </w:p>
    <w:p w:rsidR="00000000" w:rsidDel="00000000" w:rsidP="00000000" w:rsidRDefault="00000000" w:rsidRPr="00000000" w14:paraId="0000010B">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non-conformances in Aerospace &amp; Defense - Quest Global Horizons, otwierano: stycznia 16, 2026, </w:t>
      </w:r>
      <w:hyperlink r:id="rId12">
        <w:r w:rsidDel="00000000" w:rsidR="00000000" w:rsidRPr="00000000">
          <w:rPr>
            <w:rFonts w:ascii="Google Sans" w:cs="Google Sans" w:eastAsia="Google Sans" w:hAnsi="Google Sans"/>
            <w:color w:val="0000ee"/>
            <w:sz w:val="24"/>
            <w:szCs w:val="24"/>
            <w:u w:val="single"/>
            <w:rtl w:val="0"/>
          </w:rPr>
          <w:t xml:space="preserve">https://horizons.questglobal.com/from-turbulence-to-tranquillity-resolving-non-conformances-in-aerospace-defense/</w:t>
        </w:r>
      </w:hyperlink>
      <w:r w:rsidDel="00000000" w:rsidR="00000000" w:rsidRPr="00000000">
        <w:rPr>
          <w:rtl w:val="0"/>
        </w:rPr>
      </w:r>
    </w:p>
    <w:p w:rsidR="00000000" w:rsidDel="00000000" w:rsidP="00000000" w:rsidRDefault="00000000" w:rsidRPr="00000000" w14:paraId="0000010C">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HPC in 6 Months for Aerospace Modeling Using AWS with Hypersonix Launch Systems, otwierano: stycznia 16, 2026, </w:t>
      </w:r>
      <w:hyperlink r:id="rId13">
        <w:r w:rsidDel="00000000" w:rsidR="00000000" w:rsidRPr="00000000">
          <w:rPr>
            <w:rFonts w:ascii="Google Sans" w:cs="Google Sans" w:eastAsia="Google Sans" w:hAnsi="Google Sans"/>
            <w:color w:val="0000ee"/>
            <w:sz w:val="24"/>
            <w:szCs w:val="24"/>
            <w:u w:val="single"/>
            <w:rtl w:val="0"/>
          </w:rPr>
          <w:t xml:space="preserve">https://aws.amazon.com/solutions/case-studies/hypersonix-graviton-case-study/</w:t>
        </w:r>
      </w:hyperlink>
      <w:r w:rsidDel="00000000" w:rsidR="00000000" w:rsidRPr="00000000">
        <w:rPr>
          <w:rtl w:val="0"/>
        </w:rPr>
      </w:r>
    </w:p>
    <w:p w:rsidR="00000000" w:rsidDel="00000000" w:rsidP="00000000" w:rsidRDefault="00000000" w:rsidRPr="00000000" w14:paraId="0000010D">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AS9100 Certification for Aerospace Manufacturers - Deltek, otwierano: stycznia 16, 2026, </w:t>
      </w:r>
      <w:hyperlink r:id="rId14">
        <w:r w:rsidDel="00000000" w:rsidR="00000000" w:rsidRPr="00000000">
          <w:rPr>
            <w:rFonts w:ascii="Google Sans" w:cs="Google Sans" w:eastAsia="Google Sans" w:hAnsi="Google Sans"/>
            <w:color w:val="0000ee"/>
            <w:sz w:val="24"/>
            <w:szCs w:val="24"/>
            <w:u w:val="single"/>
            <w:rtl w:val="0"/>
          </w:rPr>
          <w:t xml:space="preserve">https://www.deltek.com/en/manufacturing/as9100-certification</w:t>
        </w:r>
      </w:hyperlink>
      <w:r w:rsidDel="00000000" w:rsidR="00000000" w:rsidRPr="00000000">
        <w:rPr>
          <w:rtl w:val="0"/>
        </w:rPr>
      </w:r>
    </w:p>
    <w:p w:rsidR="00000000" w:rsidDel="00000000" w:rsidP="00000000" w:rsidRDefault="00000000" w:rsidRPr="00000000" w14:paraId="0000010E">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Batch Traceability and Why It Matters in Aerospace Manufacturing - ConRo, otwierano: stycznia 16, 2026, </w:t>
      </w:r>
      <w:hyperlink r:id="rId15">
        <w:r w:rsidDel="00000000" w:rsidR="00000000" w:rsidRPr="00000000">
          <w:rPr>
            <w:rFonts w:ascii="Google Sans" w:cs="Google Sans" w:eastAsia="Google Sans" w:hAnsi="Google Sans"/>
            <w:color w:val="0000ee"/>
            <w:sz w:val="24"/>
            <w:szCs w:val="24"/>
            <w:u w:val="single"/>
            <w:rtl w:val="0"/>
          </w:rPr>
          <w:t xml:space="preserve">https://www.conro.com/Blog/What-is-Batch-Traceability-and-Why-It-Matters-in-Aerospace-Manufacturing-3/</w:t>
        </w:r>
      </w:hyperlink>
      <w:r w:rsidDel="00000000" w:rsidR="00000000" w:rsidRPr="00000000">
        <w:rPr>
          <w:rtl w:val="0"/>
        </w:rPr>
      </w:r>
    </w:p>
    <w:p w:rsidR="00000000" w:rsidDel="00000000" w:rsidP="00000000" w:rsidRDefault="00000000" w:rsidRPr="00000000" w14:paraId="0000010F">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eBOM to mBOM: BOM Transformation Across PDM, PLM, ERP, and MES - Autodesk, otwierano: stycznia 16, 2026, </w:t>
      </w:r>
      <w:hyperlink r:id="rId16">
        <w:r w:rsidDel="00000000" w:rsidR="00000000" w:rsidRPr="00000000">
          <w:rPr>
            <w:rFonts w:ascii="Google Sans" w:cs="Google Sans" w:eastAsia="Google Sans" w:hAnsi="Google Sans"/>
            <w:color w:val="0000ee"/>
            <w:sz w:val="24"/>
            <w:szCs w:val="24"/>
            <w:u w:val="single"/>
            <w:rtl w:val="0"/>
          </w:rPr>
          <w:t xml:space="preserve">https://www.autodesk.com/autodesk-university/class/eBOM-to-mBOM-BOM-Transformation-Across-PDM-PLM-ERP-and-MES-2023</w:t>
        </w:r>
      </w:hyperlink>
      <w:r w:rsidDel="00000000" w:rsidR="00000000" w:rsidRPr="00000000">
        <w:rPr>
          <w:rtl w:val="0"/>
        </w:rPr>
      </w:r>
    </w:p>
    <w:p w:rsidR="00000000" w:rsidDel="00000000" w:rsidP="00000000" w:rsidRDefault="00000000" w:rsidRPr="00000000" w14:paraId="00000110">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MBOM in PLM-ERP Integration - Beyond PLM (Product Lifecycle Management) Blog, otwierano: stycznia 16, 2026, </w:t>
      </w:r>
      <w:hyperlink r:id="rId17">
        <w:r w:rsidDel="00000000" w:rsidR="00000000" w:rsidRPr="00000000">
          <w:rPr>
            <w:rFonts w:ascii="Google Sans" w:cs="Google Sans" w:eastAsia="Google Sans" w:hAnsi="Google Sans"/>
            <w:color w:val="0000ee"/>
            <w:sz w:val="24"/>
            <w:szCs w:val="24"/>
            <w:u w:val="single"/>
            <w:rtl w:val="0"/>
          </w:rPr>
          <w:t xml:space="preserve">https://beyondplm.com/2024/07/21/the-role-of-mbom-in-plm-erp-integration/</w:t>
        </w:r>
      </w:hyperlink>
      <w:r w:rsidDel="00000000" w:rsidR="00000000" w:rsidRPr="00000000">
        <w:rPr>
          <w:rtl w:val="0"/>
        </w:rPr>
      </w:r>
    </w:p>
    <w:p w:rsidR="00000000" w:rsidDel="00000000" w:rsidP="00000000" w:rsidRDefault="00000000" w:rsidRPr="00000000" w14:paraId="00000111">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Defining requirements for integrating information between design, manufacturing, and inspection - PMC - NIH, otwierano: stycznia 16, 2026,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https://pmc.ncbi.nlm.nih.gov/articles/PMC11167730/</w:t>
        </w:r>
      </w:hyperlink>
      <w:r w:rsidDel="00000000" w:rsidR="00000000" w:rsidRPr="00000000">
        <w:rPr>
          <w:rtl w:val="0"/>
        </w:rPr>
      </w:r>
    </w:p>
    <w:p w:rsidR="00000000" w:rsidDel="00000000" w:rsidP="00000000" w:rsidRDefault="00000000" w:rsidRPr="00000000" w14:paraId="00000112">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MBE Data and Process Standards - Boeing Suppliers, otwierano: stycznia 16, 2026, </w:t>
      </w:r>
      <w:hyperlink r:id="rId19">
        <w:r w:rsidDel="00000000" w:rsidR="00000000" w:rsidRPr="00000000">
          <w:rPr>
            <w:rFonts w:ascii="Google Sans" w:cs="Google Sans" w:eastAsia="Google Sans" w:hAnsi="Google Sans"/>
            <w:color w:val="0000ee"/>
            <w:sz w:val="24"/>
            <w:szCs w:val="24"/>
            <w:u w:val="single"/>
            <w:rtl w:val="0"/>
          </w:rPr>
          <w:t xml:space="preserve">https://www.boeingsuppliers.com/become/modelbasedengineering/mbe-data-and-process-standards</w:t>
        </w:r>
      </w:hyperlink>
      <w:r w:rsidDel="00000000" w:rsidR="00000000" w:rsidRPr="00000000">
        <w:rPr>
          <w:rtl w:val="0"/>
        </w:rPr>
      </w:r>
    </w:p>
    <w:p w:rsidR="00000000" w:rsidDel="00000000" w:rsidP="00000000" w:rsidRDefault="00000000" w:rsidRPr="00000000" w14:paraId="00000113">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Rethinking Engineering Change Order Management: A Smarter Way to Handle ECOs - Accuris, otwierano: stycznia 16, 2026, </w:t>
      </w:r>
      <w:hyperlink r:id="rId20">
        <w:r w:rsidDel="00000000" w:rsidR="00000000" w:rsidRPr="00000000">
          <w:rPr>
            <w:rFonts w:ascii="Google Sans" w:cs="Google Sans" w:eastAsia="Google Sans" w:hAnsi="Google Sans"/>
            <w:color w:val="0000ee"/>
            <w:sz w:val="24"/>
            <w:szCs w:val="24"/>
            <w:u w:val="single"/>
            <w:rtl w:val="0"/>
          </w:rPr>
          <w:t xml:space="preserve">https://accuristech.com/engineering-change-order/</w:t>
        </w:r>
      </w:hyperlink>
      <w:r w:rsidDel="00000000" w:rsidR="00000000" w:rsidRPr="00000000">
        <w:rPr>
          <w:rtl w:val="0"/>
        </w:rPr>
      </w:r>
    </w:p>
    <w:p w:rsidR="00000000" w:rsidDel="00000000" w:rsidP="00000000" w:rsidRDefault="00000000" w:rsidRPr="00000000" w14:paraId="00000114">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 Change Orders (ECOs): What are They, Challenges, and Tips - Duro Labs, otwierano: stycznia 16, 2026, </w:t>
      </w:r>
      <w:hyperlink r:id="rId21">
        <w:r w:rsidDel="00000000" w:rsidR="00000000" w:rsidRPr="00000000">
          <w:rPr>
            <w:rFonts w:ascii="Google Sans" w:cs="Google Sans" w:eastAsia="Google Sans" w:hAnsi="Google Sans"/>
            <w:color w:val="0000ee"/>
            <w:sz w:val="24"/>
            <w:szCs w:val="24"/>
            <w:u w:val="single"/>
            <w:rtl w:val="0"/>
          </w:rPr>
          <w:t xml:space="preserve">https://durolabs.co/blog/engineering-change-order/</w:t>
        </w:r>
      </w:hyperlink>
      <w:r w:rsidDel="00000000" w:rsidR="00000000" w:rsidRPr="00000000">
        <w:rPr>
          <w:rtl w:val="0"/>
        </w:rPr>
      </w:r>
    </w:p>
    <w:p w:rsidR="00000000" w:rsidDel="00000000" w:rsidP="00000000" w:rsidRDefault="00000000" w:rsidRPr="00000000" w14:paraId="00000115">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 Change Order (ECO): Definition, Types, Process, and Example - SimplerQMS, otwierano: stycznia 16, 2026, </w:t>
      </w:r>
      <w:hyperlink r:id="rId22">
        <w:r w:rsidDel="00000000" w:rsidR="00000000" w:rsidRPr="00000000">
          <w:rPr>
            <w:rFonts w:ascii="Google Sans" w:cs="Google Sans" w:eastAsia="Google Sans" w:hAnsi="Google Sans"/>
            <w:color w:val="0000ee"/>
            <w:sz w:val="24"/>
            <w:szCs w:val="24"/>
            <w:u w:val="single"/>
            <w:rtl w:val="0"/>
          </w:rPr>
          <w:t xml:space="preserve">https://simplerqms.com/engineering-change-order/</w:t>
        </w:r>
      </w:hyperlink>
      <w:r w:rsidDel="00000000" w:rsidR="00000000" w:rsidRPr="00000000">
        <w:rPr>
          <w:rtl w:val="0"/>
        </w:rPr>
      </w:r>
    </w:p>
    <w:p w:rsidR="00000000" w:rsidDel="00000000" w:rsidP="00000000" w:rsidRDefault="00000000" w:rsidRPr="00000000" w14:paraId="00000116">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effective non-conformance management can improve aerospace manufacturing, otwierano: stycznia 16, 2026, </w:t>
      </w:r>
      <w:hyperlink r:id="rId23">
        <w:r w:rsidDel="00000000" w:rsidR="00000000" w:rsidRPr="00000000">
          <w:rPr>
            <w:rFonts w:ascii="Google Sans" w:cs="Google Sans" w:eastAsia="Google Sans" w:hAnsi="Google Sans"/>
            <w:color w:val="0000ee"/>
            <w:sz w:val="24"/>
            <w:szCs w:val="24"/>
            <w:u w:val="single"/>
            <w:rtl w:val="0"/>
          </w:rPr>
          <w:t xml:space="preserve">https://www.ideagen.com/thought-leadership/blog/how-non-conformance-management-improves-aerospace-manufacturing</w:t>
        </w:r>
      </w:hyperlink>
      <w:r w:rsidDel="00000000" w:rsidR="00000000" w:rsidRPr="00000000">
        <w:rPr>
          <w:rtl w:val="0"/>
        </w:rPr>
      </w:r>
    </w:p>
    <w:p w:rsidR="00000000" w:rsidDel="00000000" w:rsidP="00000000" w:rsidRDefault="00000000" w:rsidRPr="00000000" w14:paraId="0000011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Strategies to Reduce Nonconformance of Parts in Aerospace Manufacturing - ScholarWorks, otwierano: stycznia 16, 2026, </w:t>
      </w:r>
      <w:hyperlink r:id="rId24">
        <w:r w:rsidDel="00000000" w:rsidR="00000000" w:rsidRPr="00000000">
          <w:rPr>
            <w:rFonts w:ascii="Google Sans" w:cs="Google Sans" w:eastAsia="Google Sans" w:hAnsi="Google Sans"/>
            <w:color w:val="0000ee"/>
            <w:sz w:val="24"/>
            <w:szCs w:val="24"/>
            <w:u w:val="single"/>
            <w:rtl w:val="0"/>
          </w:rPr>
          <w:t xml:space="preserve">https://scholarworks.waldenu.edu/dissertations/13036/</w:t>
        </w:r>
      </w:hyperlink>
      <w:r w:rsidDel="00000000" w:rsidR="00000000" w:rsidRPr="00000000">
        <w:rPr>
          <w:rtl w:val="0"/>
        </w:rPr>
      </w:r>
    </w:p>
    <w:p w:rsidR="00000000" w:rsidDel="00000000" w:rsidP="00000000" w:rsidRDefault="00000000" w:rsidRPr="00000000" w14:paraId="0000011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Aircraft certification | Digital twin | Siemens, otwierano: stycznia 16, 2026, </w:t>
      </w:r>
      <w:hyperlink r:id="rId25">
        <w:r w:rsidDel="00000000" w:rsidR="00000000" w:rsidRPr="00000000">
          <w:rPr>
            <w:rFonts w:ascii="Google Sans" w:cs="Google Sans" w:eastAsia="Google Sans" w:hAnsi="Google Sans"/>
            <w:color w:val="0000ee"/>
            <w:sz w:val="24"/>
            <w:szCs w:val="24"/>
            <w:u w:val="single"/>
            <w:rtl w:val="0"/>
          </w:rPr>
          <w:t xml:space="preserve">https://resources.sw.siemens.com/en-US/video-aerospace-defense-accelerate-aircraft-certification/</w:t>
        </w:r>
      </w:hyperlink>
      <w:r w:rsidDel="00000000" w:rsidR="00000000" w:rsidRPr="00000000">
        <w:rPr>
          <w:rtl w:val="0"/>
        </w:rPr>
      </w:r>
    </w:p>
    <w:p w:rsidR="00000000" w:rsidDel="00000000" w:rsidP="00000000" w:rsidRDefault="00000000" w:rsidRPr="00000000" w14:paraId="00000119">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 Control Board - PTC, otwierano: stycznia 16, 2026, </w:t>
      </w:r>
      <w:hyperlink r:id="rId26">
        <w:r w:rsidDel="00000000" w:rsidR="00000000" w:rsidRPr="00000000">
          <w:rPr>
            <w:rFonts w:ascii="Google Sans" w:cs="Google Sans" w:eastAsia="Google Sans" w:hAnsi="Google Sans"/>
            <w:color w:val="0000ee"/>
            <w:sz w:val="24"/>
            <w:szCs w:val="24"/>
            <w:u w:val="single"/>
            <w:rtl w:val="0"/>
          </w:rPr>
          <w:t xml:space="preserve">https://www.ptc.com/en/blogs/plm/change-control-board</w:t>
        </w:r>
      </w:hyperlink>
      <w:r w:rsidDel="00000000" w:rsidR="00000000" w:rsidRPr="00000000">
        <w:rPr>
          <w:rtl w:val="0"/>
        </w:rPr>
      </w:r>
    </w:p>
    <w:p w:rsidR="00000000" w:rsidDel="00000000" w:rsidP="00000000" w:rsidRDefault="00000000" w:rsidRPr="00000000" w14:paraId="0000011A">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Change Control Board - Jama Software, otwierano: stycznia 16, 2026, </w:t>
      </w:r>
      <w:hyperlink r:id="rId27">
        <w:r w:rsidDel="00000000" w:rsidR="00000000" w:rsidRPr="00000000">
          <w:rPr>
            <w:rFonts w:ascii="Google Sans" w:cs="Google Sans" w:eastAsia="Google Sans" w:hAnsi="Google Sans"/>
            <w:color w:val="0000ee"/>
            <w:sz w:val="24"/>
            <w:szCs w:val="24"/>
            <w:u w:val="single"/>
            <w:rtl w:val="0"/>
          </w:rPr>
          <w:t xml:space="preserve">https://www.jamasoftware.com/blog/2013/07/01/the-change-control-board/</w:t>
        </w:r>
      </w:hyperlink>
      <w:r w:rsidDel="00000000" w:rsidR="00000000" w:rsidRPr="00000000">
        <w:rPr>
          <w:rtl w:val="0"/>
        </w:rPr>
      </w:r>
    </w:p>
    <w:p w:rsidR="00000000" w:rsidDel="00000000" w:rsidP="00000000" w:rsidRDefault="00000000" w:rsidRPr="00000000" w14:paraId="0000011B">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Boeing's PLM Implementation for Aerospace Excellence, otwierano: stycznia 16, 2026, </w:t>
      </w:r>
      <w:hyperlink r:id="rId28">
        <w:r w:rsidDel="00000000" w:rsidR="00000000" w:rsidRPr="00000000">
          <w:rPr>
            <w:rFonts w:ascii="Google Sans" w:cs="Google Sans" w:eastAsia="Google Sans" w:hAnsi="Google Sans"/>
            <w:color w:val="0000ee"/>
            <w:sz w:val="24"/>
            <w:szCs w:val="24"/>
            <w:u w:val="single"/>
            <w:rtl w:val="0"/>
          </w:rPr>
          <w:t xml:space="preserve">https://plmphilosophy483489853.wordpress.com/2024/07/08/boeings-plm-implementation-for-aerospace-excellence/</w:t>
        </w:r>
      </w:hyperlink>
      <w:r w:rsidDel="00000000" w:rsidR="00000000" w:rsidRPr="00000000">
        <w:rPr>
          <w:rtl w:val="0"/>
        </w:rPr>
      </w:r>
    </w:p>
    <w:p w:rsidR="00000000" w:rsidDel="00000000" w:rsidP="00000000" w:rsidRDefault="00000000" w:rsidRPr="00000000" w14:paraId="0000011C">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NCR (Nonconformance Report) vs. MRB (Material Review Board) - Elsmar.com, otwierano: stycznia 16, 2026, </w:t>
      </w:r>
      <w:hyperlink r:id="rId29">
        <w:r w:rsidDel="00000000" w:rsidR="00000000" w:rsidRPr="00000000">
          <w:rPr>
            <w:rFonts w:ascii="Google Sans" w:cs="Google Sans" w:eastAsia="Google Sans" w:hAnsi="Google Sans"/>
            <w:color w:val="0000ee"/>
            <w:sz w:val="24"/>
            <w:szCs w:val="24"/>
            <w:u w:val="single"/>
            <w:rtl w:val="0"/>
          </w:rPr>
          <w:t xml:space="preserve">https://elsmar.com/elsmarqualityforum/threads/ncr-nonconformance-report-vs-mrb-material-review-board.18199/</w:t>
        </w:r>
      </w:hyperlink>
      <w:r w:rsidDel="00000000" w:rsidR="00000000" w:rsidRPr="00000000">
        <w:rPr>
          <w:rtl w:val="0"/>
        </w:rPr>
      </w:r>
    </w:p>
    <w:p w:rsidR="00000000" w:rsidDel="00000000" w:rsidP="00000000" w:rsidRDefault="00000000" w:rsidRPr="00000000" w14:paraId="0000011D">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Clause 8.7.1 ISO 9001 2015 Explained - Core Business Solutions, otwierano: stycznia 16, 2026, </w:t>
      </w:r>
      <w:hyperlink r:id="rId30">
        <w:r w:rsidDel="00000000" w:rsidR="00000000" w:rsidRPr="00000000">
          <w:rPr>
            <w:rFonts w:ascii="Google Sans" w:cs="Google Sans" w:eastAsia="Google Sans" w:hAnsi="Google Sans"/>
            <w:color w:val="0000ee"/>
            <w:sz w:val="24"/>
            <w:szCs w:val="24"/>
            <w:u w:val="single"/>
            <w:rtl w:val="0"/>
          </w:rPr>
          <w:t xml:space="preserve">https://www.thecoresolution.com/clause-8-7-1-iso-9001-2015-explained</w:t>
        </w:r>
      </w:hyperlink>
      <w:r w:rsidDel="00000000" w:rsidR="00000000" w:rsidRPr="00000000">
        <w:rPr>
          <w:rtl w:val="0"/>
        </w:rPr>
      </w:r>
    </w:p>
    <w:p w:rsidR="00000000" w:rsidDel="00000000" w:rsidP="00000000" w:rsidRDefault="00000000" w:rsidRPr="00000000" w14:paraId="0000011E">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Material Review Board: Deciding the Fate of Nonconforming… - Tulip Interfaces, otwierano: stycznia 16, 2026, </w:t>
      </w:r>
      <w:hyperlink r:id="rId31">
        <w:r w:rsidDel="00000000" w:rsidR="00000000" w:rsidRPr="00000000">
          <w:rPr>
            <w:rFonts w:ascii="Google Sans" w:cs="Google Sans" w:eastAsia="Google Sans" w:hAnsi="Google Sans"/>
            <w:color w:val="0000ee"/>
            <w:sz w:val="24"/>
            <w:szCs w:val="24"/>
            <w:u w:val="single"/>
            <w:rtl w:val="0"/>
          </w:rPr>
          <w:t xml:space="preserve">https://tulip.co/blog/material-review-board/</w:t>
        </w:r>
      </w:hyperlink>
      <w:r w:rsidDel="00000000" w:rsidR="00000000" w:rsidRPr="00000000">
        <w:rPr>
          <w:rtl w:val="0"/>
        </w:rPr>
      </w:r>
    </w:p>
    <w:p w:rsidR="00000000" w:rsidDel="00000000" w:rsidP="00000000" w:rsidRDefault="00000000" w:rsidRPr="00000000" w14:paraId="0000011F">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High-performance computing use cases - Canonical Ubuntu, otwierano: stycznia 16, 2026, </w:t>
      </w:r>
      <w:hyperlink r:id="rId32">
        <w:r w:rsidDel="00000000" w:rsidR="00000000" w:rsidRPr="00000000">
          <w:rPr>
            <w:rFonts w:ascii="Google Sans" w:cs="Google Sans" w:eastAsia="Google Sans" w:hAnsi="Google Sans"/>
            <w:color w:val="0000ee"/>
            <w:sz w:val="24"/>
            <w:szCs w:val="24"/>
            <w:u w:val="single"/>
            <w:rtl w:val="0"/>
          </w:rPr>
          <w:t xml:space="preserve">https://ubuntu.com/hpc/use-cases</w:t>
        </w:r>
      </w:hyperlink>
      <w:r w:rsidDel="00000000" w:rsidR="00000000" w:rsidRPr="00000000">
        <w:rPr>
          <w:rtl w:val="0"/>
        </w:rPr>
      </w:r>
    </w:p>
    <w:p w:rsidR="00000000" w:rsidDel="00000000" w:rsidP="00000000" w:rsidRDefault="00000000" w:rsidRPr="00000000" w14:paraId="00000120">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 8.3-1 Rev. 00 CONTROL OF NONCONFORMING PRODUCT - GKN Aerospace, otwierano: stycznia 16, 2026, </w:t>
      </w:r>
      <w:hyperlink r:id="rId33">
        <w:r w:rsidDel="00000000" w:rsidR="00000000" w:rsidRPr="00000000">
          <w:rPr>
            <w:rFonts w:ascii="Google Sans" w:cs="Google Sans" w:eastAsia="Google Sans" w:hAnsi="Google Sans"/>
            <w:color w:val="0000ee"/>
            <w:sz w:val="24"/>
            <w:szCs w:val="24"/>
            <w:u w:val="single"/>
            <w:rtl w:val="0"/>
          </w:rPr>
          <w:t xml:space="preserve">https://www.gknaerospace.com/media/2fibdqxw/wi-8-3-1-rev00-control-of-nonconforming-product.pdf</w:t>
        </w:r>
      </w:hyperlink>
      <w:r w:rsidDel="00000000" w:rsidR="00000000" w:rsidRPr="00000000">
        <w:rPr>
          <w:rtl w:val="0"/>
        </w:rPr>
      </w:r>
    </w:p>
    <w:p w:rsidR="00000000" w:rsidDel="00000000" w:rsidP="00000000" w:rsidRDefault="00000000" w:rsidRPr="00000000" w14:paraId="00000121">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AEROSPACE PROCEDURE FOR CONTROL OF NONCONFORMING PRODUCT, otwierano: stycznia 16, 2026, </w:t>
      </w:r>
      <w:hyperlink r:id="rId34">
        <w:r w:rsidDel="00000000" w:rsidR="00000000" w:rsidRPr="00000000">
          <w:rPr>
            <w:rFonts w:ascii="Google Sans" w:cs="Google Sans" w:eastAsia="Google Sans" w:hAnsi="Google Sans"/>
            <w:color w:val="0000ee"/>
            <w:sz w:val="24"/>
            <w:szCs w:val="24"/>
            <w:u w:val="single"/>
            <w:rtl w:val="0"/>
          </w:rPr>
          <w:t xml:space="preserve">https://www.sensata.com/sites/default/files/a/kavlico-control-non-conforming-product-manual-ap0413.pdf</w:t>
        </w:r>
      </w:hyperlink>
      <w:r w:rsidDel="00000000" w:rsidR="00000000" w:rsidRPr="00000000">
        <w:rPr>
          <w:rtl w:val="0"/>
        </w:rPr>
      </w:r>
    </w:p>
    <w:p w:rsidR="00000000" w:rsidDel="00000000" w:rsidP="00000000" w:rsidRDefault="00000000" w:rsidRPr="00000000" w14:paraId="00000122">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Standards for Flexible Discrete Manufacturing in the Model-Based Enterprise, otwierano: stycznia 16, 2026, </w:t>
      </w:r>
      <w:hyperlink r:id="rId35">
        <w:r w:rsidDel="00000000" w:rsidR="00000000" w:rsidRPr="00000000">
          <w:rPr>
            <w:rFonts w:ascii="Google Sans" w:cs="Google Sans" w:eastAsia="Google Sans" w:hAnsi="Google Sans"/>
            <w:color w:val="0000ee"/>
            <w:sz w:val="24"/>
            <w:szCs w:val="24"/>
            <w:u w:val="single"/>
            <w:rtl w:val="0"/>
          </w:rPr>
          <w:t xml:space="preserve">https://qifstandards.org/wp-content/uploads/2014/08/NIST.GCR_.20-024.pdf</w:t>
        </w:r>
      </w:hyperlink>
      <w:r w:rsidDel="00000000" w:rsidR="00000000" w:rsidRPr="00000000">
        <w:rPr>
          <w:rtl w:val="0"/>
        </w:rPr>
      </w:r>
    </w:p>
    <w:p w:rsidR="00000000" w:rsidDel="00000000" w:rsidP="00000000" w:rsidRDefault="00000000" w:rsidRPr="00000000" w14:paraId="00000123">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DICONDE in NDT Testing?, otwierano: stycznia 16, 2026, </w:t>
      </w:r>
      <w:hyperlink r:id="rId36">
        <w:r w:rsidDel="00000000" w:rsidR="00000000" w:rsidRPr="00000000">
          <w:rPr>
            <w:rFonts w:ascii="Google Sans" w:cs="Google Sans" w:eastAsia="Google Sans" w:hAnsi="Google Sans"/>
            <w:color w:val="0000ee"/>
            <w:sz w:val="24"/>
            <w:szCs w:val="24"/>
            <w:u w:val="single"/>
            <w:rtl w:val="0"/>
          </w:rPr>
          <w:t xml:space="preserve">https://ndtblog-emea.fujifilm.com/what-is-diconde-in-ndt-testing/</w:t>
        </w:r>
      </w:hyperlink>
      <w:r w:rsidDel="00000000" w:rsidR="00000000" w:rsidRPr="00000000">
        <w:rPr>
          <w:rtl w:val="0"/>
        </w:rPr>
      </w:r>
    </w:p>
    <w:p w:rsidR="00000000" w:rsidDel="00000000" w:rsidP="00000000" w:rsidRDefault="00000000" w:rsidRPr="00000000" w14:paraId="00000124">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DICONDE: The Standard for Digital NDT Imaging | Baker Hughes, otwierano: stycznia 16, 2026, </w:t>
      </w:r>
      <w:hyperlink r:id="rId37">
        <w:r w:rsidDel="00000000" w:rsidR="00000000" w:rsidRPr="00000000">
          <w:rPr>
            <w:rFonts w:ascii="Google Sans" w:cs="Google Sans" w:eastAsia="Google Sans" w:hAnsi="Google Sans"/>
            <w:color w:val="0000ee"/>
            <w:sz w:val="24"/>
            <w:szCs w:val="24"/>
            <w:u w:val="single"/>
            <w:rtl w:val="0"/>
          </w:rPr>
          <w:t xml:space="preserve">https://www.bakerhughes.com/waygate-technologies/blog/understanding-diconde-standard-digital-ndt-imaging</w:t>
        </w:r>
      </w:hyperlink>
      <w:r w:rsidDel="00000000" w:rsidR="00000000" w:rsidRPr="00000000">
        <w:rPr>
          <w:rtl w:val="0"/>
        </w:rPr>
      </w:r>
    </w:p>
    <w:p w:rsidR="00000000" w:rsidDel="00000000" w:rsidP="00000000" w:rsidRDefault="00000000" w:rsidRPr="00000000" w14:paraId="00000125">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Workload Manager and Job Scheduler for HPC | Altair PBS Professional, otwierano: stycznia 16, 2026, </w:t>
      </w:r>
      <w:hyperlink r:id="rId38">
        <w:r w:rsidDel="00000000" w:rsidR="00000000" w:rsidRPr="00000000">
          <w:rPr>
            <w:rFonts w:ascii="Google Sans" w:cs="Google Sans" w:eastAsia="Google Sans" w:hAnsi="Google Sans"/>
            <w:color w:val="0000ee"/>
            <w:sz w:val="24"/>
            <w:szCs w:val="24"/>
            <w:u w:val="single"/>
            <w:rtl w:val="0"/>
          </w:rPr>
          <w:t xml:space="preserve">https://altair.com/pbs-professional</w:t>
        </w:r>
      </w:hyperlink>
      <w:r w:rsidDel="00000000" w:rsidR="00000000" w:rsidRPr="00000000">
        <w:rPr>
          <w:rtl w:val="0"/>
        </w:rPr>
      </w:r>
    </w:p>
    <w:p w:rsidR="00000000" w:rsidDel="00000000" w:rsidP="00000000" w:rsidRDefault="00000000" w:rsidRPr="00000000" w14:paraId="00000126">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HPC Scheduler &amp; Cluster Management - SchedMd, otwierano: stycznia 16, 2026, </w:t>
      </w:r>
      <w:hyperlink r:id="rId39">
        <w:r w:rsidDel="00000000" w:rsidR="00000000" w:rsidRPr="00000000">
          <w:rPr>
            <w:rFonts w:ascii="Google Sans" w:cs="Google Sans" w:eastAsia="Google Sans" w:hAnsi="Google Sans"/>
            <w:color w:val="0000ee"/>
            <w:sz w:val="24"/>
            <w:szCs w:val="24"/>
            <w:u w:val="single"/>
            <w:rtl w:val="0"/>
          </w:rPr>
          <w:t xml:space="preserve">https://www.schedmd.com/slurm-support/our-services/high-performance-computing/</w:t>
        </w:r>
      </w:hyperlink>
      <w:r w:rsidDel="00000000" w:rsidR="00000000" w:rsidRPr="00000000">
        <w:rPr>
          <w:rtl w:val="0"/>
        </w:rPr>
      </w:r>
    </w:p>
    <w:p w:rsidR="00000000" w:rsidDel="00000000" w:rsidP="00000000" w:rsidRDefault="00000000" w:rsidRPr="00000000" w14:paraId="0000012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Configuration Management in AS9100 Rev D - QMII, otwierano: stycznia 16, 2026, </w:t>
      </w:r>
      <w:hyperlink r:id="rId40">
        <w:r w:rsidDel="00000000" w:rsidR="00000000" w:rsidRPr="00000000">
          <w:rPr>
            <w:rFonts w:ascii="Google Sans" w:cs="Google Sans" w:eastAsia="Google Sans" w:hAnsi="Google Sans"/>
            <w:color w:val="0000ee"/>
            <w:sz w:val="24"/>
            <w:szCs w:val="24"/>
            <w:u w:val="single"/>
            <w:rtl w:val="0"/>
          </w:rPr>
          <w:t xml:space="preserve">https://www.qmii.com/configuration-management-in-as9100-rev-d/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qmii.com/configuration-management-in-as9100-rev-d/" TargetMode="External"/><Relationship Id="rId20" Type="http://schemas.openxmlformats.org/officeDocument/2006/relationships/hyperlink" Target="https://accuristech.com/engineering-change-order/" TargetMode="External"/><Relationship Id="rId22" Type="http://schemas.openxmlformats.org/officeDocument/2006/relationships/hyperlink" Target="https://simplerqms.com/engineering-change-order/" TargetMode="External"/><Relationship Id="rId21" Type="http://schemas.openxmlformats.org/officeDocument/2006/relationships/hyperlink" Target="https://durolabs.co/blog/engineering-change-order/" TargetMode="External"/><Relationship Id="rId24" Type="http://schemas.openxmlformats.org/officeDocument/2006/relationships/hyperlink" Target="https://scholarworks.waldenu.edu/dissertations/13036/" TargetMode="External"/><Relationship Id="rId23" Type="http://schemas.openxmlformats.org/officeDocument/2006/relationships/hyperlink" Target="https://www.ideagen.com/thought-leadership/blog/how-non-conformance-management-improves-aerospace-manufactu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ulip.co/industries/aerospace-defense/composable-mes/" TargetMode="External"/><Relationship Id="rId26" Type="http://schemas.openxmlformats.org/officeDocument/2006/relationships/hyperlink" Target="https://www.ptc.com/en/blogs/plm/change-control-board" TargetMode="External"/><Relationship Id="rId25" Type="http://schemas.openxmlformats.org/officeDocument/2006/relationships/hyperlink" Target="https://resources.sw.siemens.com/en-US/video-aerospace-defense-accelerate-aircraft-certification/" TargetMode="External"/><Relationship Id="rId28" Type="http://schemas.openxmlformats.org/officeDocument/2006/relationships/hyperlink" Target="https://plmphilosophy483489853.wordpress.com/2024/07/08/boeings-plm-implementation-for-aerospace-excellence/" TargetMode="External"/><Relationship Id="rId27" Type="http://schemas.openxmlformats.org/officeDocument/2006/relationships/hyperlink" Target="https://www.jamasoftware.com/blog/2013/07/01/the-change-control-board/" TargetMode="External"/><Relationship Id="rId5" Type="http://schemas.openxmlformats.org/officeDocument/2006/relationships/styles" Target="styles.xml"/><Relationship Id="rId6" Type="http://schemas.openxmlformats.org/officeDocument/2006/relationships/hyperlink" Target="https://www.arenasolutions.com/blog/how-aerospace-and-defense-companies-can-scale-quality-with-integrated-plm-and-mes/" TargetMode="External"/><Relationship Id="rId29" Type="http://schemas.openxmlformats.org/officeDocument/2006/relationships/hyperlink" Target="https://elsmar.com/elsmarqualityforum/threads/ncr-nonconformance-report-vs-mrb-material-review-board.18199/" TargetMode="External"/><Relationship Id="rId7" Type="http://schemas.openxmlformats.org/officeDocument/2006/relationships/hyperlink" Target="https://bluestarplm.com/industries/aerospace-defence/" TargetMode="External"/><Relationship Id="rId8" Type="http://schemas.openxmlformats.org/officeDocument/2006/relationships/hyperlink" Target="https://aras.com/en/blog/transforming-aerospace-plm-with-aras-innovator" TargetMode="External"/><Relationship Id="rId31" Type="http://schemas.openxmlformats.org/officeDocument/2006/relationships/hyperlink" Target="https://tulip.co/blog/material-review-board/" TargetMode="External"/><Relationship Id="rId30" Type="http://schemas.openxmlformats.org/officeDocument/2006/relationships/hyperlink" Target="https://www.thecoresolution.com/clause-8-7-1-iso-9001-2015-explained" TargetMode="External"/><Relationship Id="rId11" Type="http://schemas.openxmlformats.org/officeDocument/2006/relationships/hyperlink" Target="https://www.ptc.com/en/blogs/plm/what-is-an-engineering-change-request" TargetMode="External"/><Relationship Id="rId33" Type="http://schemas.openxmlformats.org/officeDocument/2006/relationships/hyperlink" Target="https://www.gknaerospace.com/media/2fibdqxw/wi-8-3-1-rev00-control-of-nonconforming-product.pdf" TargetMode="External"/><Relationship Id="rId10" Type="http://schemas.openxmlformats.org/officeDocument/2006/relationships/hyperlink" Target="https://www.clevr.com/blog/why-aerospace-defense-needs-plm-in-2025-siemens-teamcenter-for-aerospace-defense" TargetMode="External"/><Relationship Id="rId32" Type="http://schemas.openxmlformats.org/officeDocument/2006/relationships/hyperlink" Target="https://ubuntu.com/hpc/use-cases" TargetMode="External"/><Relationship Id="rId13" Type="http://schemas.openxmlformats.org/officeDocument/2006/relationships/hyperlink" Target="https://aws.amazon.com/solutions/case-studies/hypersonix-graviton-case-study/" TargetMode="External"/><Relationship Id="rId35" Type="http://schemas.openxmlformats.org/officeDocument/2006/relationships/hyperlink" Target="https://qifstandards.org/wp-content/uploads/2014/08/NIST.GCR_.20-024.pdf" TargetMode="External"/><Relationship Id="rId12" Type="http://schemas.openxmlformats.org/officeDocument/2006/relationships/hyperlink" Target="https://horizons.questglobal.com/from-turbulence-to-tranquillity-resolving-non-conformances-in-aerospace-defense/" TargetMode="External"/><Relationship Id="rId34" Type="http://schemas.openxmlformats.org/officeDocument/2006/relationships/hyperlink" Target="https://www.sensata.com/sites/default/files/a/kavlico-control-non-conforming-product-manual-ap0413.pdf" TargetMode="External"/><Relationship Id="rId15" Type="http://schemas.openxmlformats.org/officeDocument/2006/relationships/hyperlink" Target="https://www.conro.com/Blog/What-is-Batch-Traceability-and-Why-It-Matters-in-Aerospace-Manufacturing-3/" TargetMode="External"/><Relationship Id="rId37" Type="http://schemas.openxmlformats.org/officeDocument/2006/relationships/hyperlink" Target="https://www.bakerhughes.com/waygate-technologies/blog/understanding-diconde-standard-digital-ndt-imaging" TargetMode="External"/><Relationship Id="rId14" Type="http://schemas.openxmlformats.org/officeDocument/2006/relationships/hyperlink" Target="https://www.deltek.com/en/manufacturing/as9100-certification" TargetMode="External"/><Relationship Id="rId36" Type="http://schemas.openxmlformats.org/officeDocument/2006/relationships/hyperlink" Target="https://ndtblog-emea.fujifilm.com/what-is-diconde-in-ndt-testing/" TargetMode="External"/><Relationship Id="rId17" Type="http://schemas.openxmlformats.org/officeDocument/2006/relationships/hyperlink" Target="https://beyondplm.com/2024/07/21/the-role-of-mbom-in-plm-erp-integration/" TargetMode="External"/><Relationship Id="rId39" Type="http://schemas.openxmlformats.org/officeDocument/2006/relationships/hyperlink" Target="https://www.schedmd.com/slurm-support/our-services/high-performance-computing/" TargetMode="External"/><Relationship Id="rId16" Type="http://schemas.openxmlformats.org/officeDocument/2006/relationships/hyperlink" Target="https://www.autodesk.com/autodesk-university/class/eBOM-to-mBOM-BOM-Transformation-Across-PDM-PLM-ERP-and-MES-2023" TargetMode="External"/><Relationship Id="rId38" Type="http://schemas.openxmlformats.org/officeDocument/2006/relationships/hyperlink" Target="https://altair.com/pbs-professional" TargetMode="External"/><Relationship Id="rId19" Type="http://schemas.openxmlformats.org/officeDocument/2006/relationships/hyperlink" Target="https://www.boeingsuppliers.com/become/modelbasedengineering/mbe-data-and-process-standards" TargetMode="External"/><Relationship Id="rId18" Type="http://schemas.openxmlformats.org/officeDocument/2006/relationships/hyperlink" Target="https://pmc.ncbi.nlm.nih.gov/articles/PMC111677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