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9" w:rsidRPr="00F03096" w:rsidRDefault="002A7348">
      <w:pPr>
        <w:rPr>
          <w:sz w:val="20"/>
          <w:szCs w:val="20"/>
        </w:rPr>
      </w:pPr>
      <w:bookmarkStart w:id="0" w:name="_GoBack"/>
      <w:r w:rsidRPr="00F03096">
        <w:rPr>
          <w:sz w:val="20"/>
          <w:szCs w:val="20"/>
        </w:rPr>
        <w:drawing>
          <wp:inline distT="0" distB="0" distL="0" distR="0" wp14:anchorId="1EEE84F5" wp14:editId="305BAA75">
            <wp:extent cx="5760720" cy="26466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33E" w:rsidRPr="00F03096" w:rsidRDefault="002A7348">
      <w:pPr>
        <w:rPr>
          <w:sz w:val="20"/>
          <w:szCs w:val="20"/>
        </w:rPr>
      </w:pPr>
      <w:r w:rsidRPr="00F03096">
        <w:rPr>
          <w:sz w:val="20"/>
          <w:szCs w:val="20"/>
        </w:rPr>
        <w:drawing>
          <wp:inline distT="0" distB="0" distL="0" distR="0" wp14:anchorId="2B96EEE3" wp14:editId="4B1B3261">
            <wp:extent cx="5760720" cy="1239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98" w:rsidRDefault="00D15D98">
      <w:pPr>
        <w:rPr>
          <w:sz w:val="20"/>
          <w:szCs w:val="20"/>
        </w:rPr>
      </w:pPr>
    </w:p>
    <w:p w:rsidR="0030433E" w:rsidRPr="00F03096" w:rsidRDefault="0030433E">
      <w:pPr>
        <w:rPr>
          <w:sz w:val="20"/>
          <w:szCs w:val="20"/>
        </w:rPr>
      </w:pPr>
      <w:r w:rsidRPr="00F03096">
        <w:rPr>
          <w:sz w:val="20"/>
          <w:szCs w:val="20"/>
        </w:rPr>
        <w:t>Kryteria oceniania: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7A5BBC" w:rsidRPr="00F03096" w:rsidTr="007A5BBC">
        <w:tc>
          <w:tcPr>
            <w:tcW w:w="562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1.</w:t>
            </w:r>
          </w:p>
        </w:tc>
        <w:tc>
          <w:tcPr>
            <w:tcW w:w="8500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W programie zdefiniowano klasę film (wielkość liter nie ma znaczenia, dopuszczone jest nazewnictwo angielskie) 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2.</w:t>
            </w:r>
          </w:p>
        </w:tc>
        <w:tc>
          <w:tcPr>
            <w:tcW w:w="8500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Zdefiniowano pola o zakresie </w:t>
            </w:r>
            <w:proofErr w:type="spellStart"/>
            <w:r w:rsidRPr="00F03096">
              <w:rPr>
                <w:sz w:val="20"/>
                <w:szCs w:val="20"/>
              </w:rPr>
              <w:t>protected</w:t>
            </w:r>
            <w:proofErr w:type="spellEnd"/>
            <w:r w:rsidRPr="00F03096">
              <w:rPr>
                <w:sz w:val="20"/>
                <w:szCs w:val="20"/>
              </w:rPr>
              <w:t xml:space="preserve"> reprezentujące: tytuł dowolnego typu napisowego przyjmujący domyślnie </w:t>
            </w:r>
            <w:proofErr w:type="spellStart"/>
            <w:r w:rsidRPr="00F03096">
              <w:rPr>
                <w:sz w:val="20"/>
                <w:szCs w:val="20"/>
              </w:rPr>
              <w:t>null</w:t>
            </w:r>
            <w:proofErr w:type="spellEnd"/>
            <w:r w:rsidRPr="00F03096">
              <w:rPr>
                <w:sz w:val="20"/>
                <w:szCs w:val="20"/>
              </w:rPr>
              <w:t xml:space="preserve"> lub 0 lub "" i liczbę </w:t>
            </w:r>
            <w:proofErr w:type="spellStart"/>
            <w:r w:rsidRPr="00F03096">
              <w:rPr>
                <w:sz w:val="20"/>
                <w:szCs w:val="20"/>
              </w:rPr>
              <w:t>wypożyczeń</w:t>
            </w:r>
            <w:proofErr w:type="spellEnd"/>
            <w:r w:rsidRPr="00F03096">
              <w:rPr>
                <w:sz w:val="20"/>
                <w:szCs w:val="20"/>
              </w:rPr>
              <w:t xml:space="preserve"> dowolnego typu całkowitego o domyślnej wartości 0 (przypisanie lub konstruktorem) (w </w:t>
            </w:r>
            <w:proofErr w:type="spellStart"/>
            <w:r w:rsidRPr="00F03096">
              <w:rPr>
                <w:sz w:val="20"/>
                <w:szCs w:val="20"/>
              </w:rPr>
              <w:t>Python</w:t>
            </w:r>
            <w:proofErr w:type="spellEnd"/>
            <w:r w:rsidRPr="00F03096">
              <w:rPr>
                <w:sz w:val="20"/>
                <w:szCs w:val="20"/>
              </w:rPr>
              <w:t xml:space="preserve"> zgodnie z konwencją zastosowano do nazwy jeden </w:t>
            </w:r>
            <w:proofErr w:type="spellStart"/>
            <w:r w:rsidRPr="00F03096">
              <w:rPr>
                <w:sz w:val="20"/>
                <w:szCs w:val="20"/>
              </w:rPr>
              <w:t>podkreślnik</w:t>
            </w:r>
            <w:proofErr w:type="spellEnd"/>
            <w:r w:rsidRPr="00F03096">
              <w:rPr>
                <w:sz w:val="20"/>
                <w:szCs w:val="20"/>
              </w:rPr>
              <w:t>)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3.</w:t>
            </w:r>
          </w:p>
        </w:tc>
        <w:tc>
          <w:tcPr>
            <w:tcW w:w="8500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Zdefiniowano metodę ustawiającą tytuł. Metoda jako argument przyjmuje dowolny typ napisowy. Operacja przypisania argumentu do zmiennej następuje prawidłowo dla danego</w:t>
            </w:r>
            <w:r w:rsidRPr="00F03096">
              <w:rPr>
                <w:sz w:val="20"/>
                <w:szCs w:val="20"/>
              </w:rPr>
              <w:t xml:space="preserve"> typu. Metoda zmienia wartość pola.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7A5BB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8500" w:type="dxa"/>
          </w:tcPr>
          <w:p w:rsidR="007A5BBC" w:rsidRPr="00F03096" w:rsidRDefault="00DE31D0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Zdefiniowano przynajmniej jedną metodę pobierającą: dla tytułu lub liczby </w:t>
            </w:r>
            <w:proofErr w:type="spellStart"/>
            <w:r w:rsidRPr="00F03096">
              <w:rPr>
                <w:sz w:val="20"/>
                <w:szCs w:val="20"/>
              </w:rPr>
              <w:t>wypożyczeń</w:t>
            </w:r>
            <w:proofErr w:type="spellEnd"/>
            <w:r w:rsidRPr="00F03096">
              <w:rPr>
                <w:sz w:val="20"/>
                <w:szCs w:val="20"/>
              </w:rPr>
              <w:t>, metoda zwraca odpowiednie pole, jest typu zgodnego z polem, jest bezargumentowa.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DE31D0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5.</w:t>
            </w:r>
          </w:p>
        </w:tc>
        <w:tc>
          <w:tcPr>
            <w:tcW w:w="8500" w:type="dxa"/>
          </w:tcPr>
          <w:p w:rsidR="007A5BBC" w:rsidRPr="00F03096" w:rsidRDefault="00912F91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Zdefiniowano metodę inkrementującą liczbę </w:t>
            </w:r>
            <w:proofErr w:type="spellStart"/>
            <w:r w:rsidRPr="00F03096">
              <w:rPr>
                <w:sz w:val="20"/>
                <w:szCs w:val="20"/>
              </w:rPr>
              <w:t>wypożyczeń</w:t>
            </w:r>
            <w:proofErr w:type="spellEnd"/>
            <w:r w:rsidRPr="00F03096">
              <w:rPr>
                <w:sz w:val="20"/>
                <w:szCs w:val="20"/>
              </w:rPr>
              <w:t>; metoda jest bezargumentowa i nie zwraca żadnej wartości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DE31D0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6.</w:t>
            </w:r>
          </w:p>
        </w:tc>
        <w:tc>
          <w:tcPr>
            <w:tcW w:w="8500" w:type="dxa"/>
          </w:tcPr>
          <w:p w:rsidR="007A5BBC" w:rsidRPr="00F03096" w:rsidRDefault="00A459AF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P</w:t>
            </w:r>
            <w:r w:rsidRPr="00F03096">
              <w:rPr>
                <w:sz w:val="20"/>
                <w:szCs w:val="20"/>
              </w:rPr>
              <w:t>rogram uruchamia się w konsoli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A459AF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7.</w:t>
            </w:r>
          </w:p>
        </w:tc>
        <w:tc>
          <w:tcPr>
            <w:tcW w:w="8500" w:type="dxa"/>
          </w:tcPr>
          <w:p w:rsidR="007A5BBC" w:rsidRPr="00F03096" w:rsidRDefault="00A459AF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W programie/metodzie głównej przetestowano działanie klasy. Zainicjowano obiekt, wykonano ustawienie nazwy filmu i inkrementację oraz wyświetlono wynik działania przed i po zmianach wartości pól. Wyświetlane wartości wskazują na poprawne działanie funkcjonalności klasy</w:t>
            </w:r>
          </w:p>
        </w:tc>
      </w:tr>
      <w:tr w:rsidR="007A5BBC" w:rsidRPr="00F03096" w:rsidTr="007A5BBC">
        <w:tc>
          <w:tcPr>
            <w:tcW w:w="562" w:type="dxa"/>
          </w:tcPr>
          <w:p w:rsidR="007A5BBC" w:rsidRPr="00F03096" w:rsidRDefault="00A459AF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8.</w:t>
            </w:r>
          </w:p>
        </w:tc>
        <w:tc>
          <w:tcPr>
            <w:tcW w:w="8500" w:type="dxa"/>
          </w:tcPr>
          <w:p w:rsidR="007A5BBC" w:rsidRPr="00F03096" w:rsidRDefault="00271D8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Kod źródłowy zapisano w sposób czytelny: instrukcje w osobnych liniach, stosowane spacje pomiędzy operatorami, konsekwentnie stosowana wybrana konwencja dla nawiasów klamrowych instrukcji blokowej</w:t>
            </w:r>
          </w:p>
        </w:tc>
      </w:tr>
      <w:tr w:rsidR="00271D8C" w:rsidRPr="00F03096" w:rsidTr="007A5BBC">
        <w:tc>
          <w:tcPr>
            <w:tcW w:w="562" w:type="dxa"/>
          </w:tcPr>
          <w:p w:rsidR="00271D8C" w:rsidRPr="00F03096" w:rsidRDefault="00271D8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9.</w:t>
            </w:r>
          </w:p>
        </w:tc>
        <w:tc>
          <w:tcPr>
            <w:tcW w:w="8500" w:type="dxa"/>
          </w:tcPr>
          <w:p w:rsidR="00271D8C" w:rsidRPr="00F03096" w:rsidRDefault="00270C28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Kod zapisano z wcięciami dla zagłębień bloków</w:t>
            </w:r>
          </w:p>
        </w:tc>
      </w:tr>
      <w:tr w:rsidR="00271D8C" w:rsidRPr="00F03096" w:rsidTr="007A5BBC">
        <w:tc>
          <w:tcPr>
            <w:tcW w:w="562" w:type="dxa"/>
          </w:tcPr>
          <w:p w:rsidR="00271D8C" w:rsidRPr="00F03096" w:rsidRDefault="00271D8C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10.</w:t>
            </w:r>
          </w:p>
        </w:tc>
        <w:tc>
          <w:tcPr>
            <w:tcW w:w="8500" w:type="dxa"/>
          </w:tcPr>
          <w:p w:rsidR="00271D8C" w:rsidRPr="00F03096" w:rsidRDefault="00270C28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Użyto znaczące nazewnictwo metod</w:t>
            </w:r>
          </w:p>
        </w:tc>
      </w:tr>
      <w:tr w:rsidR="00CE52C5" w:rsidRPr="00F03096" w:rsidTr="007A5BBC">
        <w:tc>
          <w:tcPr>
            <w:tcW w:w="562" w:type="dxa"/>
          </w:tcPr>
          <w:p w:rsidR="00CE52C5" w:rsidRPr="00F03096" w:rsidRDefault="00CE52C5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11.</w:t>
            </w:r>
          </w:p>
        </w:tc>
        <w:tc>
          <w:tcPr>
            <w:tcW w:w="8500" w:type="dxa"/>
          </w:tcPr>
          <w:p w:rsidR="00CE52C5" w:rsidRPr="00F03096" w:rsidRDefault="00CE52C5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Użyto znaczące nazewnictwo zmiennych. Wyjątkami od reguły są zmienne bufor, </w:t>
            </w:r>
            <w:proofErr w:type="spellStart"/>
            <w:r w:rsidRPr="00F03096">
              <w:rPr>
                <w:sz w:val="20"/>
                <w:szCs w:val="20"/>
              </w:rPr>
              <w:t>tmp</w:t>
            </w:r>
            <w:proofErr w:type="spellEnd"/>
            <w:r w:rsidRPr="00F03096">
              <w:rPr>
                <w:sz w:val="20"/>
                <w:szCs w:val="20"/>
              </w:rPr>
              <w:t xml:space="preserve">, </w:t>
            </w:r>
            <w:proofErr w:type="spellStart"/>
            <w:r w:rsidRPr="00F03096">
              <w:rPr>
                <w:sz w:val="20"/>
                <w:szCs w:val="20"/>
              </w:rPr>
              <w:t>iteratory</w:t>
            </w:r>
            <w:proofErr w:type="spellEnd"/>
            <w:r w:rsidRPr="00F03096">
              <w:rPr>
                <w:sz w:val="20"/>
                <w:szCs w:val="20"/>
              </w:rPr>
              <w:t xml:space="preserve"> pętli itp. Kryterium nie jest spełnione tylko wtedy, gdy nazwy zmiennych nic nie znaczą, np. x, a, </w:t>
            </w:r>
            <w:proofErr w:type="spellStart"/>
            <w:r w:rsidRPr="00F03096">
              <w:rPr>
                <w:sz w:val="20"/>
                <w:szCs w:val="20"/>
              </w:rPr>
              <w:t>tab</w:t>
            </w:r>
            <w:proofErr w:type="spellEnd"/>
            <w:r w:rsidRPr="00F03096">
              <w:rPr>
                <w:sz w:val="20"/>
                <w:szCs w:val="20"/>
              </w:rPr>
              <w:t xml:space="preserve">, </w:t>
            </w:r>
            <w:proofErr w:type="spellStart"/>
            <w:r w:rsidRPr="00F03096">
              <w:rPr>
                <w:sz w:val="20"/>
                <w:szCs w:val="20"/>
              </w:rPr>
              <w:t>fun</w:t>
            </w:r>
            <w:proofErr w:type="spellEnd"/>
          </w:p>
        </w:tc>
      </w:tr>
      <w:tr w:rsidR="00CE52C5" w:rsidRPr="00F03096" w:rsidTr="007A5BBC">
        <w:tc>
          <w:tcPr>
            <w:tcW w:w="562" w:type="dxa"/>
          </w:tcPr>
          <w:p w:rsidR="00CE52C5" w:rsidRPr="00F03096" w:rsidRDefault="00CE52C5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12.</w:t>
            </w:r>
          </w:p>
        </w:tc>
        <w:tc>
          <w:tcPr>
            <w:tcW w:w="8500" w:type="dxa"/>
          </w:tcPr>
          <w:p w:rsidR="00CE52C5" w:rsidRPr="00F03096" w:rsidRDefault="00CE52C5" w:rsidP="00F03096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 xml:space="preserve">Zastosowano typy pól pasujące do problemu (na przykład nazwa filmu jako typ napisowy, liczba </w:t>
            </w:r>
            <w:proofErr w:type="spellStart"/>
            <w:r w:rsidRPr="00F03096">
              <w:rPr>
                <w:sz w:val="20"/>
                <w:szCs w:val="20"/>
              </w:rPr>
              <w:t>wypożyczeń</w:t>
            </w:r>
            <w:proofErr w:type="spellEnd"/>
            <w:r w:rsidRPr="00F03096">
              <w:rPr>
                <w:sz w:val="20"/>
                <w:szCs w:val="20"/>
              </w:rPr>
              <w:t xml:space="preserve"> jako typ całkowity, obiekt typu klasy; lub inne pasujące do aplikacji </w:t>
            </w:r>
            <w:r w:rsidR="00F03096">
              <w:rPr>
                <w:sz w:val="20"/>
                <w:szCs w:val="20"/>
              </w:rPr>
              <w:t>)</w:t>
            </w:r>
          </w:p>
        </w:tc>
      </w:tr>
      <w:tr w:rsidR="00CE52C5" w:rsidRPr="00F03096" w:rsidTr="007A5BBC">
        <w:tc>
          <w:tcPr>
            <w:tcW w:w="562" w:type="dxa"/>
          </w:tcPr>
          <w:p w:rsidR="00CE52C5" w:rsidRPr="00F03096" w:rsidRDefault="00CE52C5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13.</w:t>
            </w:r>
          </w:p>
        </w:tc>
        <w:tc>
          <w:tcPr>
            <w:tcW w:w="8500" w:type="dxa"/>
          </w:tcPr>
          <w:p w:rsidR="00CE52C5" w:rsidRPr="00F03096" w:rsidRDefault="00CE52C5">
            <w:pPr>
              <w:rPr>
                <w:sz w:val="20"/>
                <w:szCs w:val="20"/>
              </w:rPr>
            </w:pPr>
            <w:r w:rsidRPr="00F03096">
              <w:rPr>
                <w:sz w:val="20"/>
                <w:szCs w:val="20"/>
              </w:rPr>
              <w:t>Podjęto próbę uruchomienia programu, co udokumentowano obrazem przedstawiającym wykonywany program lub jego kompilację</w:t>
            </w:r>
          </w:p>
        </w:tc>
      </w:tr>
    </w:tbl>
    <w:p w:rsidR="0030433E" w:rsidRPr="00F03096" w:rsidRDefault="0030433E">
      <w:pPr>
        <w:rPr>
          <w:sz w:val="20"/>
          <w:szCs w:val="20"/>
        </w:rPr>
      </w:pPr>
    </w:p>
    <w:sectPr w:rsidR="0030433E" w:rsidRPr="00F03096" w:rsidSect="00F0309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8D6" w:rsidRDefault="008D68D6" w:rsidP="008D68D6">
      <w:pPr>
        <w:spacing w:after="0" w:line="240" w:lineRule="auto"/>
      </w:pPr>
      <w:r>
        <w:separator/>
      </w:r>
    </w:p>
  </w:endnote>
  <w:endnote w:type="continuationSeparator" w:id="0">
    <w:p w:rsidR="008D68D6" w:rsidRDefault="008D68D6" w:rsidP="008D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8D6" w:rsidRDefault="008D68D6" w:rsidP="008D68D6">
      <w:pPr>
        <w:spacing w:after="0" w:line="240" w:lineRule="auto"/>
      </w:pPr>
      <w:r>
        <w:separator/>
      </w:r>
    </w:p>
  </w:footnote>
  <w:footnote w:type="continuationSeparator" w:id="0">
    <w:p w:rsidR="008D68D6" w:rsidRDefault="008D68D6" w:rsidP="008D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8D6" w:rsidRPr="008D68D6" w:rsidRDefault="008D68D6" w:rsidP="008D68D6">
    <w:pPr>
      <w:pStyle w:val="Nagwek"/>
      <w:jc w:val="center"/>
      <w:rPr>
        <w:b/>
        <w:sz w:val="28"/>
        <w:szCs w:val="28"/>
      </w:rPr>
    </w:pPr>
    <w:r w:rsidRPr="008D68D6">
      <w:rPr>
        <w:b/>
        <w:sz w:val="28"/>
        <w:szCs w:val="28"/>
      </w:rPr>
      <w:t>INF.04 – czerwiec 2023 – zad.3 - Klasa Film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48"/>
    <w:rsid w:val="001147DA"/>
    <w:rsid w:val="0021386F"/>
    <w:rsid w:val="00270C28"/>
    <w:rsid w:val="00271D8C"/>
    <w:rsid w:val="002A7348"/>
    <w:rsid w:val="0030433E"/>
    <w:rsid w:val="005C1611"/>
    <w:rsid w:val="007176E3"/>
    <w:rsid w:val="007A5BBC"/>
    <w:rsid w:val="008B0328"/>
    <w:rsid w:val="008D68D6"/>
    <w:rsid w:val="00912F91"/>
    <w:rsid w:val="00A459AF"/>
    <w:rsid w:val="00BA370F"/>
    <w:rsid w:val="00CE52C5"/>
    <w:rsid w:val="00D15D98"/>
    <w:rsid w:val="00DE31D0"/>
    <w:rsid w:val="00EF0515"/>
    <w:rsid w:val="00F0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500A0-D670-4FDC-8FAA-1D3A62A2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D6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68D6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D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68D6"/>
  </w:style>
  <w:style w:type="paragraph" w:styleId="Stopka">
    <w:name w:val="footer"/>
    <w:basedOn w:val="Normalny"/>
    <w:link w:val="StopkaZnak"/>
    <w:uiPriority w:val="99"/>
    <w:unhideWhenUsed/>
    <w:rsid w:val="008D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Muskała</dc:creator>
  <cp:keywords/>
  <dc:description/>
  <cp:lastModifiedBy>Izabela Muskała</cp:lastModifiedBy>
  <cp:revision>17</cp:revision>
  <cp:lastPrinted>2023-12-12T08:06:00Z</cp:lastPrinted>
  <dcterms:created xsi:type="dcterms:W3CDTF">2023-12-12T07:55:00Z</dcterms:created>
  <dcterms:modified xsi:type="dcterms:W3CDTF">2023-12-12T08:07:00Z</dcterms:modified>
</cp:coreProperties>
</file>