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76A" w14:textId="524E47B3" w:rsidR="00086E21" w:rsidRPr="00B745E5" w:rsidRDefault="003E4972" w:rsidP="00086E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Szara pleśń rzepaku</w:t>
      </w:r>
    </w:p>
    <w:p w14:paraId="6AD15A05" w14:textId="3FA8C5C1" w:rsidR="003E4972" w:rsidRPr="003E4972" w:rsidRDefault="00086E21" w:rsidP="003E497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3E4972">
        <w:rPr>
          <w:b/>
          <w:bCs/>
          <w:sz w:val="24"/>
          <w:szCs w:val="24"/>
        </w:rPr>
        <w:t>Czynnik ryzyka</w:t>
      </w:r>
    </w:p>
    <w:p w14:paraId="7395CF62" w14:textId="5B3BB771" w:rsidR="003E4972" w:rsidRDefault="003E4972" w:rsidP="003E497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Duża wilgotność powietrza</w:t>
      </w:r>
    </w:p>
    <w:p w14:paraId="1CF94012" w14:textId="10CD3F35" w:rsidR="003E4972" w:rsidRPr="003E4972" w:rsidRDefault="003E4972" w:rsidP="003E497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Zagęszczenie łanu</w:t>
      </w:r>
    </w:p>
    <w:p w14:paraId="114775B3" w14:textId="2CFE9166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 xml:space="preserve">Objawy </w:t>
      </w:r>
    </w:p>
    <w:p w14:paraId="7D232826" w14:textId="08F441B7" w:rsidR="003E4972" w:rsidRPr="003E4972" w:rsidRDefault="003E4972" w:rsidP="003E497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Początkowo mniejsze plamy na liściach, łodygach i łuszczynach obrastające szarym pilśniowym nalotem</w:t>
      </w:r>
    </w:p>
    <w:p w14:paraId="5A25927A" w14:textId="77777777" w:rsidR="00086E21" w:rsidRDefault="00086E21" w:rsidP="00086E21">
      <w:pPr>
        <w:pStyle w:val="Akapitzlist"/>
        <w:ind w:left="1080"/>
        <w:rPr>
          <w:sz w:val="24"/>
          <w:szCs w:val="24"/>
        </w:rPr>
      </w:pPr>
    </w:p>
    <w:p w14:paraId="2B66C636" w14:textId="1D89B2FE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Komunikaty</w:t>
      </w:r>
    </w:p>
    <w:p w14:paraId="4297C4D3" w14:textId="4BDE2DA3" w:rsidR="003E4972" w:rsidRPr="003E4972" w:rsidRDefault="003E4972" w:rsidP="003E497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D: Zapobiegawdczo: </w:t>
      </w:r>
      <w:r w:rsidRPr="003E4972">
        <w:rPr>
          <w:sz w:val="28"/>
          <w:szCs w:val="28"/>
        </w:rPr>
        <w:t>Przy 4-6 liściach rzepaku wykonujemy zabieg preparatami Tilmor, Caryx i Toprex bądź innym preparatem zawierającym trebukonazol, difenokonazol bądź azoksystrobinę.</w:t>
      </w:r>
    </w:p>
    <w:p w14:paraId="46A485E0" w14:textId="77777777" w:rsidR="003E4972" w:rsidRPr="00B745E5" w:rsidRDefault="003E4972" w:rsidP="003E4972">
      <w:pPr>
        <w:pStyle w:val="Akapitzlist"/>
        <w:rPr>
          <w:b/>
          <w:bCs/>
          <w:sz w:val="24"/>
          <w:szCs w:val="24"/>
        </w:rPr>
      </w:pPr>
    </w:p>
    <w:p w14:paraId="23433FFE" w14:textId="77777777" w:rsidR="00B745E5" w:rsidRPr="00B745E5" w:rsidRDefault="00B745E5" w:rsidP="00B745E5">
      <w:pPr>
        <w:pStyle w:val="Akapitzlist"/>
        <w:ind w:left="1080"/>
        <w:rPr>
          <w:b/>
          <w:bCs/>
          <w:sz w:val="24"/>
          <w:szCs w:val="24"/>
        </w:rPr>
      </w:pPr>
    </w:p>
    <w:p w14:paraId="38E53EDD" w14:textId="1CA4AC25" w:rsidR="00B745E5" w:rsidRDefault="00B745E5" w:rsidP="00B745E5">
      <w:pPr>
        <w:pStyle w:val="Akapitzlist"/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Reguła diagnozowania interwencyjnego</w:t>
      </w:r>
    </w:p>
    <w:p w14:paraId="746CD8D0" w14:textId="57CBC10A" w:rsidR="003E4972" w:rsidRPr="00B745E5" w:rsidRDefault="003E4972" w:rsidP="003E4972">
      <w:pPr>
        <w:pStyle w:val="Akapitzlist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 || B = 0,5</w:t>
      </w:r>
    </w:p>
    <w:p w14:paraId="1E2D4DA8" w14:textId="77777777" w:rsidR="00B745E5" w:rsidRPr="002A70A4" w:rsidRDefault="00B745E5" w:rsidP="00B745E5">
      <w:pPr>
        <w:pStyle w:val="Akapitzlist"/>
        <w:numPr>
          <w:ilvl w:val="0"/>
          <w:numId w:val="7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185208EE" w14:textId="6A392795" w:rsidR="00B745E5" w:rsidRPr="00B745E5" w:rsidRDefault="003E4972" w:rsidP="00B745E5">
      <w:pPr>
        <w:ind w:left="720"/>
        <w:rPr>
          <w:sz w:val="24"/>
          <w:szCs w:val="24"/>
        </w:rPr>
      </w:pPr>
      <w:r>
        <w:rPr>
          <w:sz w:val="24"/>
          <w:szCs w:val="24"/>
        </w:rPr>
        <w:t>If PODEJRZENIE = 0,5 then D</w:t>
      </w:r>
    </w:p>
    <w:sectPr w:rsidR="00B745E5" w:rsidRPr="00B74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E5F"/>
    <w:multiLevelType w:val="hybridMultilevel"/>
    <w:tmpl w:val="27F2E8DA"/>
    <w:lvl w:ilvl="0" w:tplc="A058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F7F92"/>
    <w:multiLevelType w:val="hybridMultilevel"/>
    <w:tmpl w:val="FF201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223C9D"/>
    <w:multiLevelType w:val="hybridMultilevel"/>
    <w:tmpl w:val="E47E3AD0"/>
    <w:lvl w:ilvl="0" w:tplc="26B204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491954"/>
    <w:multiLevelType w:val="hybridMultilevel"/>
    <w:tmpl w:val="E9888898"/>
    <w:lvl w:ilvl="0" w:tplc="A140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B7F46"/>
    <w:multiLevelType w:val="hybridMultilevel"/>
    <w:tmpl w:val="B52265FA"/>
    <w:lvl w:ilvl="0" w:tplc="A56E06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858A8"/>
    <w:multiLevelType w:val="hybridMultilevel"/>
    <w:tmpl w:val="79985C54"/>
    <w:lvl w:ilvl="0" w:tplc="2326D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75AA6"/>
    <w:multiLevelType w:val="hybridMultilevel"/>
    <w:tmpl w:val="5EBE3C38"/>
    <w:lvl w:ilvl="0" w:tplc="A1827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C801C1"/>
    <w:multiLevelType w:val="hybridMultilevel"/>
    <w:tmpl w:val="3CD8826E"/>
    <w:lvl w:ilvl="0" w:tplc="A8565A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9A6871"/>
    <w:multiLevelType w:val="hybridMultilevel"/>
    <w:tmpl w:val="906E553E"/>
    <w:lvl w:ilvl="0" w:tplc="424A5E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1"/>
    <w:rsid w:val="00086E21"/>
    <w:rsid w:val="003E4972"/>
    <w:rsid w:val="00750CB8"/>
    <w:rsid w:val="00B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15C"/>
  <w15:chartTrackingRefBased/>
  <w15:docId w15:val="{DF55A5C5-2A3E-4ADB-929E-A8F015E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3</cp:revision>
  <dcterms:created xsi:type="dcterms:W3CDTF">2020-05-18T21:45:00Z</dcterms:created>
  <dcterms:modified xsi:type="dcterms:W3CDTF">2020-11-19T20:59:00Z</dcterms:modified>
</cp:coreProperties>
</file>