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t>1.1. Максимальная присоединяемая мощность энергопринимающих устройств — 2250 кВт.</w:t>
      </w:r>
    </w:p>
    <w:p>
      <w:pPr>
        <w:spacing w:after="120" w:line="276" w:lineRule="auto"/>
      </w:pPr>
      <w:r>
        <w:t>1.2. 1 этап (очередь): присоединяемая мощность — 625 кВт.</w:t>
      </w:r>
    </w:p>
    <w:p>
      <w:pPr>
        <w:spacing w:after="120" w:line="276" w:lineRule="auto"/>
      </w:pPr>
      <w:r>
        <w:t>1.3. 2 этап (очередь): присоединяемая мощность — 875 кВт.</w:t>
      </w:r>
    </w:p>
    <w:p>
      <w:pPr>
        <w:spacing w:after="120" w:line="276" w:lineRule="auto"/>
      </w:pPr>
      <w:r>
        <w:t>1.4. 3 этап (очередь): присоединяемая мощность — 1000 кВт.</w:t>
      </w:r>
    </w:p>
    <w:p>
      <w:pPr>
        <w:spacing w:after="120" w:line="276" w:lineRule="auto"/>
      </w:pPr>
      <w:r>
        <w:t>1.5. 4 этап (очередь): присоединяемая мощность — 2250 кВт.</w:t>
      </w:r>
    </w:p>
    <w:p>
      <w:pPr>
        <w:spacing w:after="120" w:line="276" w:lineRule="auto"/>
      </w:pPr>
      <w:r>
        <w:t>2.1. Присоединение выполнить к электрической сети напряжением 10 кВ.</w:t>
      </w:r>
    </w:p>
    <w:p>
      <w:pPr>
        <w:spacing w:after="120" w:line="276" w:lineRule="auto"/>
      </w:pPr>
      <w:r>
        <w:t>2.2. Точку присоединения принять на вновь сооружаемом РП-10 кВ.</w:t>
      </w:r>
    </w:p>
    <w:p>
      <w:pPr>
        <w:spacing w:after="120" w:line="276" w:lineRule="auto"/>
      </w:pPr>
      <w:r>
        <w:t>3.1. Электроснабжение предусмотреть по III категории надежности.</w:t>
      </w:r>
    </w:p>
    <w:p>
      <w:pPr>
        <w:spacing w:after="120" w:line="276" w:lineRule="auto"/>
      </w:pPr>
      <w:r>
        <w:t>4.1. Учет электроэнергии выполнить трехфазным прибором учета класса точности 1,0.</w:t>
      </w:r>
    </w:p>
    <w:p>
      <w:pPr>
        <w:spacing w:after="120" w:line="276" w:lineRule="auto"/>
      </w:pPr>
      <w:r>
        <w:t>5.1. Для 4 этапа принять резервирование электроснабжения от ПС ЛБ802 и ПС ЛБ264.</w:t>
      </w:r>
    </w:p>
    <w:p>
      <w:pPr>
        <w:spacing w:after="120" w:line="276" w:lineRule="auto"/>
      </w:pPr>
      <w:r>
        <w:t>6.1. Проектную документацию выполнить в соответствии с ПУЭ, ГОСТ и СП.</w:t>
      </w:r>
    </w:p>
    <w:p>
      <w:pPr>
        <w:spacing w:after="120" w:line="276" w:lineRule="auto"/>
      </w:pPr>
      <w:r>
        <w:t>6.2. Проектирование выполнить в одну стадию.</w:t>
      </w:r>
    </w:p>
    <w:p>
      <w:pPr>
        <w:spacing w:after="120" w:line="276" w:lineRule="auto"/>
      </w:pPr>
      <w:r>
        <w:t>6.3. Предусмотреть внутренние электрические сети 0,4 кВ от КТП 10/0,4 кВ.</w:t>
      </w:r>
    </w:p>
    <w:p>
      <w:pPr>
        <w:spacing w:after="120" w:line="276" w:lineRule="auto"/>
      </w:pPr>
      <w:r>
        <w:t>6.4. Выполнить заземление и молниезащиту электроустановок.</w:t>
      </w:r>
    </w:p>
    <w:p>
      <w:pPr>
        <w:spacing w:after="120" w:line="276" w:lineRule="auto"/>
      </w:pPr>
      <w:r>
        <w:t>6.5. Срок выполнения проектных работ — 90 календарных дней.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0"/>
      </w:rPr>
      <w:t>ЗАДАНИЕ НА ПРОЕКТИРОВАНИЕ № SYN-ZNP-2250 — синтетическое</w:t>
    </w:r>
  </w:p>
  <w:p>
    <w:r>
      <w:rPr>
        <w:color w:val="666666"/>
        <w:sz w:val="16"/>
      </w:rPr>
      <w:t>Синтетический документ для проверки модуля ТУ ↔ ЗнП. Не является реальным ЗнП.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ПРОЕКТИРОВАНИЕ № SYN-ZNP-2250 — синтетическое</dc:title>
  <dc:subject/>
  <dc:creator>Manual test data</dc:creator>
  <cp:keywords/>
  <dc:description>Real TU transcription / synthetic ZnP for manual testing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