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t>1.1. Максимальная присоединяемая мощность энергопринимающих устройств составляет 726,9 кВт.</w:t>
      </w:r>
    </w:p>
    <w:p>
      <w:pPr>
        <w:spacing w:after="120" w:line="276" w:lineRule="auto"/>
      </w:pPr>
      <w:r>
        <w:t>1.2. Номинальное напряжение в точке присоединения — 0,4 кВ.</w:t>
      </w:r>
    </w:p>
    <w:p>
      <w:pPr>
        <w:spacing w:after="120" w:line="276" w:lineRule="auto"/>
      </w:pPr>
      <w:r>
        <w:t>1.3. Электроснабжение предусмотреть по II категории надёжности.</w:t>
      </w:r>
    </w:p>
    <w:p>
      <w:pPr>
        <w:spacing w:after="120" w:line="276" w:lineRule="auto"/>
      </w:pPr>
      <w:r>
        <w:t>2.1. Точку присоединения разместить на границе земельного участка заявителя.</w:t>
      </w:r>
    </w:p>
    <w:p>
      <w:pPr>
        <w:spacing w:after="120" w:line="276" w:lineRule="auto"/>
      </w:pPr>
      <w:r>
        <w:t>3.1. Прибор учёта электрической энергии должен иметь класс точности не ниже 0,5S.</w:t>
      </w:r>
    </w:p>
    <w:p>
      <w:pPr>
        <w:spacing w:after="120" w:line="276" w:lineRule="auto"/>
      </w:pPr>
      <w:r>
        <w:t>4.1. Предусмотреть установку ограничителя перенапряжений нелинейного.</w:t>
      </w:r>
    </w:p>
    <w:p>
      <w:pPr>
        <w:spacing w:after="120" w:line="276" w:lineRule="auto"/>
      </w:pPr>
      <w:r>
        <w:t>4.2. Выполнить огнезащиту кабельных линий в электротехнических помещениях.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0"/>
      </w:rPr>
      <w:t>СИНТЕТИЧЕСКИЕ ТЕХНИЧЕСКИЕ УСЛОВИЯ № SYN-TU-001</w:t>
    </w:r>
  </w:p>
  <w:p>
    <w:r>
      <w:rPr>
        <w:color w:val="666666"/>
        <w:sz w:val="16"/>
      </w:rPr>
      <w:t>Документ создан только для проверки модуля ТУ ↔ ЗнП. Не является реальным ТУ.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СИНТЕТИЧЕСКИЕ ТЕХНИЧЕСКИЕ УСЛОВИЯ № SYN-TU-001</dc:title>
  <dc:subject/>
  <dc:creator>Synthetic test data</dc:creator>
  <cp:keywords/>
  <dc:description>Synthetic TU/ZnP manual test data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