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t>1.1. Расчётная максимальная мощность присоединяемых энергопринимающих устройств — 726,9 кВт.</w:t>
      </w:r>
    </w:p>
    <w:p>
      <w:pPr>
        <w:spacing w:after="120" w:line="276" w:lineRule="auto"/>
      </w:pPr>
      <w:r>
        <w:t>1.2. Присоединение выполнить к электрической сети напряжением 0,4 кВ.</w:t>
      </w:r>
    </w:p>
    <w:p>
      <w:pPr>
        <w:spacing w:after="120" w:line="276" w:lineRule="auto"/>
      </w:pPr>
      <w:r>
        <w:t>1.3. Электроснабжение предусмотреть по II категории надёжности.</w:t>
      </w:r>
    </w:p>
    <w:p>
      <w:pPr>
        <w:spacing w:after="120" w:line="276" w:lineRule="auto"/>
      </w:pPr>
      <w:r>
        <w:t>2.1. Место подключения определить по меже, выделенной застройщику.</w:t>
      </w:r>
    </w:p>
    <w:p>
      <w:pPr>
        <w:spacing w:after="120" w:line="276" w:lineRule="auto"/>
      </w:pPr>
      <w:r>
        <w:t>3.1. Прибор учёта электрической энергии принять класса точности 1,0.</w:t>
      </w:r>
    </w:p>
    <w:p>
      <w:pPr>
        <w:spacing w:after="120" w:line="276" w:lineRule="auto"/>
      </w:pPr>
      <w:r>
        <w:t>4.1. Предусмотреть установку ограничителя перенапряжений нелинейного.</w:t>
      </w:r>
    </w:p>
    <w:p>
      <w:pPr>
        <w:spacing w:after="120" w:line="276" w:lineRule="auto"/>
      </w:pPr>
      <w:r>
        <w:t>4.2. Выполнить заземление электроустановки.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0"/>
      </w:rPr>
      <w:t>СИНТЕТИЧЕСКОЕ ЗАДАНИЕ НА ПРОЕКТИРОВАНИЕ № SYN-ZNP-001</w:t>
    </w:r>
  </w:p>
  <w:p>
    <w:r>
      <w:rPr>
        <w:color w:val="666666"/>
        <w:sz w:val="16"/>
      </w:rPr>
      <w:t>Документ создан только для проверки модуля ТУ ↔ ЗнП. Не является реальным ЗнП.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СИНТЕТИЧЕСКОЕ ЗАДАНИЕ НА ПРОЕКТИРОВАНИЕ № SYN-ZNP-001</dc:title>
  <dc:subject/>
  <dc:creator>Synthetic test data</dc:creator>
  <cp:keywords/>
  <dc:description>Synthetic TU/ZnP manual test data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