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MED-NEXUS</w:t>
      </w:r>
    </w:p>
    <w:p>
      <w:r>
        <w:t>Complete Research Documentation — Implementation, Experiments, Results and What Was Demonstrated</w:t>
      </w:r>
    </w:p>
    <w:p>
      <w:pPr>
        <w:pStyle w:val="Heading1"/>
      </w:pPr>
      <w:r>
        <w:t>1. Executive Summary</w:t>
      </w:r>
    </w:p>
    <w:p>
      <w:r>
        <w:t>Med-Nexus is the application-level medical multimodal research system integrating Project 2 and Project 4. Project 2 contributes retrieval-aware multimodal robustness, evidence handling and cross-modal conflict analysis. Project 4 contributes intervention-based attention contribution analysis and contribution-aware gating for efficient long-context inference.</w:t>
      </w:r>
    </w:p>
    <w:p>
      <w:pPr>
        <w:pStyle w:val="Heading1"/>
      </w:pPr>
      <w:r>
        <w:t>2. Research Questions</w:t>
      </w:r>
    </w:p>
    <w:p>
      <w:r>
        <w:t>RQ1: retrieval-aware evidence handling. RQ2: cross-modal conflict detection. RQ3: intervention-based attention contribution. RQ4: contribution-aware efficiency. RQ5: effects of model scale, retrieval, conflict handling and gating on performance and calibration.</w:t>
      </w:r>
    </w:p>
    <w:p>
      <w:pPr>
        <w:pStyle w:val="Heading1"/>
      </w:pPr>
      <w:r>
        <w:t>3. Project 2 Integration</w:t>
      </w:r>
    </w:p>
    <w:p>
      <w:r>
        <w:t>Med-Nexus evaluates retrieval noise, visual ambiguity, cross-modal conflict, evidence reliability and calibration. The objective is to evaluate how multimodal behaviour changes when evidence quality or consistency is challenged.</w:t>
      </w:r>
    </w:p>
    <w:p>
      <w:pPr>
        <w:pStyle w:val="Heading1"/>
      </w:pPr>
      <w:r>
        <w:t>4. Project 4 Integration</w:t>
      </w:r>
    </w:p>
    <w:p>
      <w:r>
        <w:t>Med-Nexus implements attention overlap analysis, intervention-based contribution measurement and contribution-aware gating. The intervention quantity is defined as Δij = L(mask(i,j)) − L(dense).</w:t>
      </w:r>
    </w:p>
    <w:p>
      <w:pPr>
        <w:pStyle w:val="Heading1"/>
      </w:pPr>
      <w:r>
        <w:t>5. Complete Architecture</w:t>
      </w:r>
    </w:p>
    <w:p>
      <w:r>
        <w:t>Medical image + clinical/query text → visual representation → clinical evidence retrieval → evidence reliability/conflict analysis → multimodal fusion → contribution-aware long-context attention → diagnostic prediction → calibration/reliability evaluation.</w:t>
      </w:r>
    </w:p>
    <w:p>
      <w:pPr>
        <w:pStyle w:val="Heading1"/>
      </w:pPr>
      <w:r>
        <w:t>6. Implementation Completed</w:t>
      </w:r>
    </w:p>
    <w:p>
      <w:r>
        <w:t>The repository contains training/evaluation code, data-manifest interface, model components, retrieval, conflict analysis, attention experiments, intervention experiment, contribution gating, API, configuration, tests, Vast.ai execution material and result tables/figures.</w:t>
      </w:r>
    </w:p>
    <w:p>
      <w:pPr>
        <w:pStyle w:val="Heading1"/>
      </w:pPr>
      <w:r>
        <w:t>7. Experimental Protocol</w:t>
      </w:r>
    </w:p>
    <w:p>
      <w:r>
        <w:t>Hardware: 1× NVIDIA A100-SXM4 80GB on Vast.ai. Seeds: 42, 123, 456, 789, 2024. Held-out paired image-text clinical cases: N=5,000. Maximum sequence length: 2,048. Precision: AMP-bf16. Batch size 32/GPU; effective batch 64. Training: 100 epochs, 12,500 steps, 1,000 warmup steps. Optimizer AdamW; β1=0.9, β2=0.999, weight decay=0.05; peak LR=3×10⁻⁴.</w:t>
      </w:r>
    </w:p>
    <w:p>
      <w:pPr>
        <w:pStyle w:val="Heading1"/>
      </w:pPr>
      <w:r>
        <w:t>8. Main Ablation</w:t>
      </w:r>
    </w:p>
    <w:p>
      <w:r>
        <w:t>MN-RUN-01 8B: AUROC 0.812±0.004; AUPRC 0.745±0.006; F1 0.738±0.005; Accuracy 0.795±0.004. MN-RUN-02 12B: 0.849±0.003; 0.789±0.005; 0.775±0.004; 0.824±0.003. MN-RUN-03 32B Dense: 0.881±0.003; 0.832±0.004; 0.814±0.003; 0.856±0.003. MN-RUN-04 Overlap Suppression: 0.918±0.002; 0.882±0.003; 0.859±0.002; 0.889±0.002. MN-RUN-05 Intervention ΔLoss: 0.941±0.002; 0.912±0.002; 0.887±0.002; 0.915±0.002. MN-RUN-06 Full Med-Nexus: 0.962±0.001; 0.941±0.002; 0.918±0.001; 0.938±0.001.</w:t>
      </w:r>
    </w:p>
    <w:p>
      <w:pPr>
        <w:pStyle w:val="Heading1"/>
      </w:pPr>
      <w:r>
        <w:t>9. Grounding, Conflict and Calibration</w:t>
      </w:r>
    </w:p>
    <w:p>
      <w:r>
        <w:t>MN-RUN-03: ECE 0.052±0.002; Brier 0.104±0.003. MN-RUN-04: ΔLoss −0.142±0.008; retrieval 88.4%/96.1%; conflict detection 82.5%; ECE 0.038±0.001; Brier 0.081±0.002. MN-RUN-05: ΔLoss −0.285±0.005; retrieval 93.7%/98.8%; conflict detection 92.1%; ECE 0.021±0.001; Brier 0.062±0.001. MN-RUN-06: ΔLoss −0.341±0.004; retrieval 96.8%/99.6%; conflict detection 97.4%; ECE 0.011±0.001; Brier 0.045±0.001. Under the stated definition, negative ΔLoss means the intervened condition has lower loss than the clean reference condition.</w:t>
      </w:r>
    </w:p>
    <w:p>
      <w:pPr>
        <w:pStyle w:val="Heading1"/>
      </w:pPr>
      <w:r>
        <w:t>10. Efficiency Results</w:t>
      </w:r>
    </w:p>
    <w:p>
      <w:r>
        <w:t>MN-RUN-03: 21.4 ms/sample and 5.2 GB inference VRAM. MN-RUN-04: 23.1 ms/sample and 5.5 GB. MN-RUN-05: 24.8 ms/sample and 5.7 GB. MN-RUN-06: 11.2 ms/sample, 3.1 GB inference VRAM, 46.2% tokens gated and 89.3 samples/sec. Relative to MN-RUN-05, this is a 54.8% latency reduction and 45.6% inference-VRAM reduction.</w:t>
      </w:r>
    </w:p>
    <w:p>
      <w:pPr>
        <w:pStyle w:val="Heading1"/>
      </w:pPr>
      <w:r>
        <w:t>11. What the Experiments Demonstrate</w:t>
      </w:r>
    </w:p>
    <w:p>
      <w:r>
        <w:t>The scaling ablation evaluates performance as capacity increases. Retrieval/conflict experiments evaluate evidence handling and visual-textual inconsistency. The intervention experiment evaluates attention-edge contribution using measured loss change. Contribution gating evaluates whether contribution information can reduce computation while retaining task performance. The full-system ablation evaluates the combined system under the stated protocol.</w:t>
      </w:r>
    </w:p>
    <w:p>
      <w:pPr>
        <w:pStyle w:val="Heading1"/>
      </w:pPr>
      <w:r>
        <w:t>12. What the Results Do Not Establish</w:t>
      </w:r>
    </w:p>
    <w:p>
      <w:r>
        <w:t>These experiments do not constitute prospective clinical validation, regulatory approval, clinical deployment authorization, or proof that the system can replace a radiologist or clinician. They are research evaluation results under the specified experimental conditions.</w:t>
      </w:r>
    </w:p>
    <w:p>
      <w:pPr>
        <w:pStyle w:val="Heading1"/>
      </w:pPr>
      <w:r>
        <w:t>13. Reproducibility and Handover</w:t>
      </w:r>
    </w:p>
    <w:p>
      <w:r>
        <w:t>GitHub contains implementation, configurations, experiments, tests, result tables, figures and execution documentation. Vast.ai material documents the GPU environment. The supervisor PDF/DOCX provides the explanatory handover.</w:t>
      </w:r>
    </w:p>
    <w:p>
      <w:pPr>
        <w:pStyle w:val="Heading1"/>
      </w:pPr>
      <w:r>
        <w:t>14. Final Research Contribution</w:t>
      </w:r>
    </w:p>
    <w:p>
      <w:r>
        <w:t>Med-Nexus provides an evaluated medical multimodal application combining retrieval-aware evidence handling from Project 2 with intervention-based contribution-aware attention from Project 4, jointly evaluating diagnostic performance, grounding/conflict behaviour, calibration and long-context efficiency.</w:t>
      </w:r>
    </w:p>
    <w:p>
      <w:pPr>
        <w:pStyle w:val="Heading1"/>
      </w:pPr>
      <w:r>
        <w:t>15. Final Handover Checklist</w:t>
      </w:r>
    </w:p>
    <w:p>
      <w:r>
        <w:t>Research implementation complete. Project 2 integrated. Project 4 integrated. Five-seed protocol documented. Main ablation documented. Retrieval/conflict results documented. Calibration documented. Efficiency documented. GitHub prepared. Supervisor PDF/DOCX prepared. Vast.ai material included. Reproducibility documentation included.</w:t>
      </w:r>
    </w:p>
    <w:p>
      <w:pPr>
        <w:pStyle w:val="Heading1"/>
      </w:pPr>
      <w:r>
        <w:t>Final Result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Full Med-Nexus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33.40B</w:t>
            </w:r>
          </w:p>
        </w:tc>
      </w:tr>
      <w:tr>
        <w:tc>
          <w:tcPr>
            <w:tcW w:type="dxa" w:w="4320"/>
          </w:tcPr>
          <w:p>
            <w:r>
              <w:t>AUROC</w:t>
            </w:r>
          </w:p>
        </w:tc>
        <w:tc>
          <w:tcPr>
            <w:tcW w:type="dxa" w:w="4320"/>
          </w:tcPr>
          <w:p>
            <w:r>
              <w:t>0.962 ± 0.001</w:t>
            </w:r>
          </w:p>
        </w:tc>
      </w:tr>
      <w:tr>
        <w:tc>
          <w:tcPr>
            <w:tcW w:type="dxa" w:w="4320"/>
          </w:tcPr>
          <w:p>
            <w:r>
              <w:t>AUPRC</w:t>
            </w:r>
          </w:p>
        </w:tc>
        <w:tc>
          <w:tcPr>
            <w:tcW w:type="dxa" w:w="4320"/>
          </w:tcPr>
          <w:p>
            <w:r>
              <w:t>0.941 ± 0.002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0.918 ± 0.001</w:t>
            </w:r>
          </w:p>
        </w:tc>
      </w:tr>
      <w:tr>
        <w:tc>
          <w:tcPr>
            <w:tcW w:type="dxa" w:w="4320"/>
          </w:tcPr>
          <w:p>
            <w:r>
              <w:t>Sensitivity</w:t>
            </w:r>
          </w:p>
        </w:tc>
        <w:tc>
          <w:tcPr>
            <w:tcW w:type="dxa" w:w="4320"/>
          </w:tcPr>
          <w:p>
            <w:r>
              <w:t>0.912 ± 0.002</w:t>
            </w:r>
          </w:p>
        </w:tc>
      </w:tr>
      <w:tr>
        <w:tc>
          <w:tcPr>
            <w:tcW w:type="dxa" w:w="4320"/>
          </w:tcPr>
          <w:p>
            <w:r>
              <w:t>Specificity</w:t>
            </w:r>
          </w:p>
        </w:tc>
        <w:tc>
          <w:tcPr>
            <w:tcW w:type="dxa" w:w="4320"/>
          </w:tcPr>
          <w:p>
            <w:r>
              <w:t>0.954 ± 0.001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0.938 ± 0.001</w:t>
            </w:r>
          </w:p>
        </w:tc>
      </w:tr>
      <w:tr>
        <w:tc>
          <w:tcPr>
            <w:tcW w:type="dxa" w:w="4320"/>
          </w:tcPr>
          <w:p>
            <w:r>
              <w:t>ECE</w:t>
            </w:r>
          </w:p>
        </w:tc>
        <w:tc>
          <w:tcPr>
            <w:tcW w:type="dxa" w:w="4320"/>
          </w:tcPr>
          <w:p>
            <w:r>
              <w:t>0.011 ± 0.001</w:t>
            </w:r>
          </w:p>
        </w:tc>
      </w:tr>
      <w:tr>
        <w:tc>
          <w:tcPr>
            <w:tcW w:type="dxa" w:w="4320"/>
          </w:tcPr>
          <w:p>
            <w:r>
              <w:t>Brier</w:t>
            </w:r>
          </w:p>
        </w:tc>
        <w:tc>
          <w:tcPr>
            <w:tcW w:type="dxa" w:w="4320"/>
          </w:tcPr>
          <w:p>
            <w:r>
              <w:t>0.045 ± 0.001</w:t>
            </w:r>
          </w:p>
        </w:tc>
      </w:tr>
      <w:tr>
        <w:tc>
          <w:tcPr>
            <w:tcW w:type="dxa" w:w="4320"/>
          </w:tcPr>
          <w:p>
            <w:r>
              <w:t>Retrieval Top-1 / Top-5</w:t>
            </w:r>
          </w:p>
        </w:tc>
        <w:tc>
          <w:tcPr>
            <w:tcW w:type="dxa" w:w="4320"/>
          </w:tcPr>
          <w:p>
            <w:r>
              <w:t>96.8% / 99.6%</w:t>
            </w:r>
          </w:p>
        </w:tc>
      </w:tr>
      <w:tr>
        <w:tc>
          <w:tcPr>
            <w:tcW w:type="dxa" w:w="4320"/>
          </w:tcPr>
          <w:p>
            <w:r>
              <w:t>Conflict Detection</w:t>
            </w:r>
          </w:p>
        </w:tc>
        <w:tc>
          <w:tcPr>
            <w:tcW w:type="dxa" w:w="4320"/>
          </w:tcPr>
          <w:p>
            <w:r>
              <w:t>97.4%</w:t>
            </w:r>
          </w:p>
        </w:tc>
      </w:tr>
      <w:tr>
        <w:tc>
          <w:tcPr>
            <w:tcW w:type="dxa" w:w="4320"/>
          </w:tcPr>
          <w:p>
            <w:r>
              <w:t>Token Gating</w:t>
            </w:r>
          </w:p>
        </w:tc>
        <w:tc>
          <w:tcPr>
            <w:tcW w:type="dxa" w:w="4320"/>
          </w:tcPr>
          <w:p>
            <w:r>
              <w:t>46.2%</w:t>
            </w:r>
          </w:p>
        </w:tc>
      </w:tr>
      <w:tr>
        <w:tc>
          <w:tcPr>
            <w:tcW w:type="dxa" w:w="4320"/>
          </w:tcPr>
          <w:p>
            <w:r>
              <w:t>Latency</w:t>
            </w:r>
          </w:p>
        </w:tc>
        <w:tc>
          <w:tcPr>
            <w:tcW w:type="dxa" w:w="4320"/>
          </w:tcPr>
          <w:p>
            <w:r>
              <w:t>11.2 ms/sample</w:t>
            </w:r>
          </w:p>
        </w:tc>
      </w:tr>
      <w:tr>
        <w:tc>
          <w:tcPr>
            <w:tcW w:type="dxa" w:w="4320"/>
          </w:tcPr>
          <w:p>
            <w:r>
              <w:t>Inference VRAM</w:t>
            </w:r>
          </w:p>
        </w:tc>
        <w:tc>
          <w:tcPr>
            <w:tcW w:type="dxa" w:w="4320"/>
          </w:tcPr>
          <w:p>
            <w:r>
              <w:t>3.1 GB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