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Default Extension="ICO" ContentType="image/.ico"/>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harts/chart1.xml" ContentType="application/vnd.openxmlformats-officedocument.drawingml.chart+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9F7FCE" w:rsidRPr="00EE426C" w:rsidRDefault="00A964D9" w:rsidP="00C24DEF">
      <w:pPr>
        <w:pStyle w:val="papertitle"/>
      </w:pPr>
      <w:r>
        <w:t>Building extraction and roof type classification of aerial images for maximal PV panel installation</w:t>
      </w:r>
    </w:p>
    <w:p w:rsidR="00C24DEF" w:rsidRPr="00EE426C" w:rsidRDefault="00A964D9" w:rsidP="00A964D9">
      <w:pPr>
        <w:pStyle w:val="author"/>
      </w:pPr>
      <w:r>
        <w:t xml:space="preserve">Shruthi </w:t>
      </w:r>
      <w:proofErr w:type="gramStart"/>
      <w:r>
        <w:t>Muthukumar</w:t>
      </w:r>
      <w:r w:rsidR="009B2539" w:rsidRPr="00EE426C">
        <w:rPr>
          <w:vertAlign w:val="superscript"/>
        </w:rPr>
        <w:t>1</w:t>
      </w:r>
      <w:r w:rsidR="009B2539" w:rsidRPr="00EE426C">
        <w:t xml:space="preserve"> </w:t>
      </w:r>
      <w:r>
        <w:t>,</w:t>
      </w:r>
      <w:proofErr w:type="gramEnd"/>
      <w:r>
        <w:t xml:space="preserve"> Gayathri Murugesan</w:t>
      </w:r>
      <w:r w:rsidRPr="00EE426C">
        <w:rPr>
          <w:vertAlign w:val="superscript"/>
        </w:rPr>
        <w:t>2</w:t>
      </w:r>
      <w:r>
        <w:rPr>
          <w:vertAlign w:val="superscript"/>
        </w:rPr>
        <w:t xml:space="preserve"> </w:t>
      </w:r>
      <w:r w:rsidR="009B2539" w:rsidRPr="00EE426C">
        <w:t xml:space="preserve"> </w:t>
      </w:r>
      <w:r>
        <w:t>and Jayapriya M</w:t>
      </w:r>
      <w:r>
        <w:rPr>
          <w:vertAlign w:val="superscript"/>
        </w:rPr>
        <w:t>3</w:t>
      </w:r>
    </w:p>
    <w:p w:rsidR="00C24DEF" w:rsidRPr="00EE426C" w:rsidRDefault="009B2539" w:rsidP="00EE426C">
      <w:pPr>
        <w:pStyle w:val="address"/>
      </w:pPr>
      <w:r w:rsidRPr="00EE426C">
        <w:rPr>
          <w:vertAlign w:val="superscript"/>
        </w:rPr>
        <w:t>1</w:t>
      </w:r>
      <w:proofErr w:type="gramStart"/>
      <w:r w:rsidR="00A964D9">
        <w:rPr>
          <w:vertAlign w:val="superscript"/>
        </w:rPr>
        <w:t>,2,3</w:t>
      </w:r>
      <w:proofErr w:type="gramEnd"/>
      <w:r w:rsidRPr="00EE426C">
        <w:t xml:space="preserve"> </w:t>
      </w:r>
      <w:r w:rsidR="00A964D9">
        <w:t xml:space="preserve">College of Engineering, </w:t>
      </w:r>
      <w:proofErr w:type="spellStart"/>
      <w:r w:rsidR="00A964D9">
        <w:t>Guindy</w:t>
      </w:r>
      <w:proofErr w:type="spellEnd"/>
      <w:r w:rsidR="00A964D9">
        <w:t>, Anna</w:t>
      </w:r>
      <w:r w:rsidRPr="00EE426C">
        <w:t xml:space="preserve"> University, </w:t>
      </w:r>
      <w:r w:rsidR="00A964D9">
        <w:t>Chennai</w:t>
      </w:r>
      <w:r w:rsidRPr="00EE426C">
        <w:t xml:space="preserve"> </w:t>
      </w:r>
      <w:r w:rsidR="00A964D9">
        <w:t>600025</w:t>
      </w:r>
      <w:r w:rsidRPr="00EE426C">
        <w:t xml:space="preserve">, </w:t>
      </w:r>
      <w:r w:rsidR="00A964D9">
        <w:t>India</w:t>
      </w:r>
    </w:p>
    <w:p w:rsidR="00C24DEF" w:rsidRPr="006809AE" w:rsidRDefault="009B2539" w:rsidP="006809AE">
      <w:pPr>
        <w:pStyle w:val="address"/>
      </w:pPr>
      <w:r w:rsidRPr="006809AE">
        <w:rPr>
          <w:vertAlign w:val="superscript"/>
        </w:rPr>
        <w:t>2</w:t>
      </w:r>
      <w:r w:rsidRPr="006809AE">
        <w:t xml:space="preserve"> Springer Heidelberg, Tiergartenstr. 17, 69121 Heidelberg, Germany</w:t>
      </w:r>
      <w:r w:rsidRPr="006809AE">
        <w:br/>
      </w:r>
      <w:r w:rsidRPr="006809AE">
        <w:rPr>
          <w:rStyle w:val="e-mail"/>
        </w:rPr>
        <w:t>lncs@springer.com</w:t>
      </w:r>
    </w:p>
    <w:p w:rsidR="00C24DEF" w:rsidRPr="00EE426C" w:rsidRDefault="009B2539" w:rsidP="00EE426C">
      <w:pPr>
        <w:pStyle w:val="abstract"/>
        <w:spacing w:after="0"/>
        <w:ind w:firstLine="0"/>
      </w:pPr>
      <w:r w:rsidRPr="00EE426C">
        <w:rPr>
          <w:b/>
          <w:bCs/>
        </w:rPr>
        <w:t xml:space="preserve">Abstract. </w:t>
      </w:r>
      <w:r w:rsidR="00A964D9" w:rsidRPr="004935E4">
        <w:rPr>
          <w:szCs w:val="18"/>
        </w:rPr>
        <w:t>Environmental issues are a major source of concern these days, as they threaten the existence of humankind.  The transition to renewable energy sources such as wind and solar has begun as mankind faces the issue of meeting its energy demands in a more sustainable manner. Several studies are being conducted on optimizing the use of solar energy through the use of highly efficient solar panels. However, this is associated with a lot of concerns on its own. Traditional approaches, such as online assessment, however pose significant challenges as they are time-consuming and costly. It also demands a large amount of human labor, with competent individuals visiting the site to assess each building and determine the type of roof to determine the PV panel installation arrangement.</w:t>
      </w:r>
      <w:r w:rsidR="00A964D9">
        <w:rPr>
          <w:szCs w:val="18"/>
        </w:rPr>
        <w:t xml:space="preserve"> </w:t>
      </w:r>
      <w:r w:rsidR="00A964D9" w:rsidRPr="004935E4">
        <w:rPr>
          <w:szCs w:val="18"/>
        </w:rPr>
        <w:t xml:space="preserve">In accordance, this project focuses on creating a comprehensive and detailed pipeline to address the problem of classifying and manually assessing rooftops for solar panel placement. For this purpose, understanding urban dynamics, and accurate mapping of buildings from satellite images is crucial. Thus, given a satellite image with wide coverage and spatial resolution of 7.5cm, we employ a deep-learning model called MultiRes-UNet, which is an improved version of the original UNet network for building segmentation. The experimental results show an average </w:t>
      </w:r>
      <w:proofErr w:type="spellStart"/>
      <w:proofErr w:type="gramStart"/>
      <w:r w:rsidR="00A964D9" w:rsidRPr="004935E4">
        <w:rPr>
          <w:szCs w:val="18"/>
        </w:rPr>
        <w:t>IoU</w:t>
      </w:r>
      <w:proofErr w:type="spellEnd"/>
      <w:proofErr w:type="gramEnd"/>
      <w:r w:rsidR="00A964D9" w:rsidRPr="004935E4">
        <w:rPr>
          <w:szCs w:val="18"/>
        </w:rPr>
        <w:t xml:space="preserve"> of 95.25% and average dice coefficient value of 97.56% for building segmentation using MultiRes UNet.  The rooftops of segmented buildings are then extracted by applying image processing techniques like finding contours, color filling and background subtraction. The extracted rooftops are manually classified into three categories: flat, gable, and hip, and then sent into the second stage for roof type classification. Various deep learning models including a customized CNN model and three transfer learning approaches (ResNet50, EfficientNetB4, and VGG16) are used for classification and a comparative analysis is made between the models. Although the shallow CNN model has a slightly lower accuracy of 78%, it is still acceptable given the very limited data. With the AIRS dataset, we conclude that the transfer learning models have an average accuracy of 91.93%, indicating that the models have been fine-tuned to work with the sparse data we have. Because different DL models performed well on different portions, majority voting was employed as the assembling method. The results show that using majority voting improved classification accuracy by 5.67%. This is finally followed by a simulation of modular layout of PV panels on rooftops based on customized inputs on the dimensions and tilt angle of the panel. The arrangement of PV panels also takes into consideration the obstructions (tree shadows, </w:t>
      </w:r>
      <w:r w:rsidR="00A964D9" w:rsidRPr="004935E4">
        <w:rPr>
          <w:szCs w:val="18"/>
        </w:rPr>
        <w:lastRenderedPageBreak/>
        <w:t>obstacles) to ensure maximal consumption of energy. This pipeline, thus, resolves the time-consuming, laborious task of manual assessment of rooftops.</w:t>
      </w:r>
    </w:p>
    <w:p w:rsidR="00C24DEF" w:rsidRDefault="009B2539" w:rsidP="00EE426C">
      <w:pPr>
        <w:pStyle w:val="keywords"/>
      </w:pPr>
      <w:r w:rsidRPr="00EE426C">
        <w:rPr>
          <w:b/>
          <w:bCs/>
        </w:rPr>
        <w:t>Keywords:</w:t>
      </w:r>
      <w:r w:rsidRPr="00EE426C">
        <w:t xml:space="preserve"> </w:t>
      </w:r>
      <w:r w:rsidR="00A964D9">
        <w:t>Building s</w:t>
      </w:r>
      <w:r w:rsidR="00A964D9">
        <w:t>egmentation, AIRS, MultiRes UNet, Roof</w:t>
      </w:r>
      <w:r w:rsidR="00A964D9">
        <w:t xml:space="preserve"> </w:t>
      </w:r>
      <w:r w:rsidR="00A964D9">
        <w:t>type classification, PV panel simulation</w:t>
      </w:r>
      <w:r w:rsidR="00A964D9">
        <w:t>, Image processing.</w:t>
      </w:r>
    </w:p>
    <w:p w:rsidR="00A964D9" w:rsidRDefault="00A964D9" w:rsidP="00A964D9">
      <w:pPr>
        <w:pStyle w:val="heading1"/>
      </w:pPr>
      <w:r>
        <w:t>Introduction</w:t>
      </w:r>
    </w:p>
    <w:p w:rsidR="00A964D9" w:rsidRDefault="00A964D9" w:rsidP="00A964D9">
      <w:pPr>
        <w:pStyle w:val="p1a"/>
      </w:pPr>
      <w:r w:rsidRPr="00A964D9">
        <w:t>In this chapter, we will be discussing the need for a sustainable environment and potential methods undertaken to resolve climate change issues. This is followed by understanding the importance of remote-sensing in getting to know better about urban dynamics, and terrestrial mapping and building types. An overall synopsis of the project is briefly mentioned out.</w:t>
      </w:r>
    </w:p>
    <w:p w:rsidR="00A964D9" w:rsidRPr="00A964D9" w:rsidRDefault="00A964D9" w:rsidP="00A964D9"/>
    <w:p w:rsidR="00A964D9" w:rsidRPr="006809AE" w:rsidRDefault="00A964D9" w:rsidP="00A964D9">
      <w:pPr>
        <w:pStyle w:val="heading2"/>
        <w:spacing w:before="0"/>
      </w:pPr>
      <w:r>
        <w:t>Problem Statement</w:t>
      </w:r>
    </w:p>
    <w:p w:rsidR="00C1456B" w:rsidRDefault="00C1456B" w:rsidP="00C1456B">
      <w:pPr>
        <w:ind w:firstLine="0"/>
      </w:pPr>
      <w:r>
        <w:t>Sustainable environment is required for the advancement of economic development, to improve energy security, access to energy, and mitigate climate change. Energy production sources such as coal, oil, and natural gas are responsible for one-third of global greenhouse gas emissions, and there is a growing need for everyone to switch to solar power for electricity generation. Estimating a roof's solar potential, on the other hand, is a time-consuming process that requires manual labor and site inspection. The current algorithms only work with LIDAR data and do not predict the number of solar PV panels based on the type of rooftops. Furthermore, mapping urban buildings for rooftop segmentation presents its own set of issues, since aerial satellite photos are typically of low resolution.</w:t>
      </w:r>
    </w:p>
    <w:p w:rsidR="00A964D9" w:rsidRDefault="00C1456B" w:rsidP="00C1456B">
      <w:r>
        <w:t>In this project, we use the AIRS dataset that provides a wide coverage of aerial imagery with 7.5 cm resolution and propose a mechanism to address the above problem: State-of-the-art MultiRes U-Net architecture is used for building detection as a first step to identify and segment buildings from aerial image. This is followed by classifying rooftops from the extracted buildings with different deep learning and transfer learning algorithms and detecting the boundaries of rooftop. Finally, a fitting algorithm is used to provide a simulation of PV panels fitted on top of roofs. This proposed solution uses a single drone/satellite image to recognize and classify rooftops for buildings dispersed throughout an area, thus automating the entire process and reducing human labor.</w:t>
      </w:r>
    </w:p>
    <w:p w:rsidR="00C1456B" w:rsidRDefault="00C1456B" w:rsidP="00C1456B"/>
    <w:p w:rsidR="00C1456B" w:rsidRPr="006809AE" w:rsidRDefault="00C1456B" w:rsidP="00C1456B">
      <w:pPr>
        <w:pStyle w:val="heading2"/>
        <w:spacing w:before="0"/>
      </w:pPr>
      <w:r>
        <w:t>Sustainable Environment</w:t>
      </w:r>
    </w:p>
    <w:p w:rsidR="00C1456B" w:rsidRDefault="00C1456B" w:rsidP="00C1456B">
      <w:pPr>
        <w:ind w:firstLine="0"/>
      </w:pPr>
      <w:r>
        <w:t xml:space="preserve">Over the last few decades, climate change has become a global problem, affecting a variety of life forms. Sustainable development is thus the need of the hour for the survival of mankind. There is a rising awareness that harnessing renewable resources is the way to go in order to construct a sustainable environment. Potential tapping of solar power for generating electricity has gained enormous popularity and attention in recent years, and people are increasingly gravitating toward the PV revolution. </w:t>
      </w:r>
    </w:p>
    <w:p w:rsidR="00C1456B" w:rsidRDefault="00C1456B" w:rsidP="00C1456B">
      <w:r>
        <w:lastRenderedPageBreak/>
        <w:t>However, traditional approaches, such as online assessment are time-consuming and expensive, and they require a significant amount of human effort, as concerned experts must visit the site to inspect the building in order to determine whether PV panels should be installed and the modular layout of PV panel installation. However, by automating the process of building roof extraction for PV panel placement, a lot of money and time can be saved. In this way, PV sales can be made more efficient by using an automatic PV system design.</w:t>
      </w:r>
    </w:p>
    <w:p w:rsidR="00C1456B" w:rsidRDefault="00C1456B" w:rsidP="00C1456B"/>
    <w:p w:rsidR="00C1456B" w:rsidRDefault="0000058B" w:rsidP="00C1456B">
      <w:pPr>
        <w:pStyle w:val="heading2"/>
        <w:spacing w:before="0"/>
      </w:pPr>
      <w:r>
        <w:t>Overall Objectives</w:t>
      </w:r>
    </w:p>
    <w:p w:rsidR="0000058B" w:rsidRDefault="0000058B" w:rsidP="0000058B">
      <w:pPr>
        <w:pStyle w:val="p1a"/>
      </w:pPr>
      <w:r w:rsidRPr="0000058B">
        <w:t>To simulate the placement of PV panels on rooftop of buildings from aerial images based on roof type for maximum energy consumption, the following steps are to be performed:</w:t>
      </w:r>
    </w:p>
    <w:p w:rsidR="0000058B" w:rsidRDefault="0000058B" w:rsidP="0000058B">
      <w:pPr>
        <w:pStyle w:val="bulletitem"/>
      </w:pPr>
      <w:r w:rsidRPr="0000058B">
        <w:t>To segment and detect buildings in a given satellite image using MultiRes UNet model and perform background subtraction to extract the rooftops.</w:t>
      </w:r>
    </w:p>
    <w:p w:rsidR="0000058B" w:rsidRDefault="0000058B" w:rsidP="0000058B">
      <w:pPr>
        <w:pStyle w:val="bulletitem"/>
      </w:pPr>
      <w:r w:rsidRPr="0000058B">
        <w:t>To label the extracted building rooftops into different classes - flat, gable, and hip and create a dataset and train different DL models for roof type classification.</w:t>
      </w:r>
    </w:p>
    <w:p w:rsidR="0000058B" w:rsidRDefault="0000058B" w:rsidP="0000058B">
      <w:pPr>
        <w:pStyle w:val="bulletitem"/>
      </w:pPr>
      <w:r w:rsidRPr="0000058B">
        <w:t>To perform edge detection on the extracted rooftops to mark boundaries to find the necessary area for PV panel simulation.</w:t>
      </w:r>
    </w:p>
    <w:p w:rsidR="0000058B" w:rsidRDefault="0000058B" w:rsidP="0000058B">
      <w:pPr>
        <w:pStyle w:val="bulletitem"/>
        <w:numPr>
          <w:ilvl w:val="0"/>
          <w:numId w:val="0"/>
        </w:numPr>
        <w:ind w:left="227"/>
      </w:pPr>
    </w:p>
    <w:p w:rsidR="0000058B" w:rsidRDefault="0000058B" w:rsidP="0000058B">
      <w:pPr>
        <w:pStyle w:val="heading2"/>
        <w:spacing w:before="0"/>
      </w:pPr>
      <w:r>
        <w:t>Scope</w:t>
      </w:r>
    </w:p>
    <w:p w:rsidR="0000058B" w:rsidRPr="0000058B" w:rsidRDefault="0000058B" w:rsidP="0000058B">
      <w:pPr>
        <w:pStyle w:val="p1a"/>
      </w:pPr>
      <w:r w:rsidRPr="0000058B">
        <w:t>The primary goal of the project is to classify roof tops and provide a simulation of modular layout of PV panels fitted on top of roofs. Even though, manual assessment is more reliable, it is often time consuming and labor intensive when it comes to covering numerous buildings in a particular area. That is why automating the entire process is necessary. We must note that so far no automated approaches have been used to detect buildings from a wide coverage satellite image and classify roof types. This is where our one-shot pipeline comes into play, which can segment and detect buildings from aerial/satellite images, extract each of the rooftops and classify them based on their type in order to provide a simulation of PV panels fitted on them. This can easily automate the entire process of assessing hundreds of roof tops.</w:t>
      </w:r>
    </w:p>
    <w:p w:rsidR="00C1456B" w:rsidRDefault="00C1456B" w:rsidP="0000058B">
      <w:pPr>
        <w:ind w:firstLine="0"/>
      </w:pPr>
      <w:bookmarkStart w:id="0" w:name="_GoBack"/>
      <w:bookmarkEnd w:id="0"/>
    </w:p>
    <w:p w:rsidR="00A964D9" w:rsidRPr="00A964D9" w:rsidRDefault="00A964D9" w:rsidP="00A964D9">
      <w:pPr>
        <w:pStyle w:val="heading1"/>
      </w:pPr>
    </w:p>
    <w:p w:rsidR="00C24DEF" w:rsidRDefault="009B2539" w:rsidP="00C24DEF">
      <w:pPr>
        <w:pStyle w:val="heading1"/>
      </w:pPr>
      <w:r>
        <w:t>First Section</w:t>
      </w:r>
    </w:p>
    <w:p w:rsidR="006809AE" w:rsidRPr="006809AE" w:rsidRDefault="009B2539" w:rsidP="006809AE">
      <w:pPr>
        <w:pStyle w:val="heading2"/>
        <w:spacing w:before="0"/>
      </w:pPr>
      <w:r>
        <w:t>A Subsection</w:t>
      </w:r>
      <w:r w:rsidRPr="003E3370">
        <w:t xml:space="preserve"> </w:t>
      </w:r>
      <w:r>
        <w:t>Sample</w:t>
      </w:r>
    </w:p>
    <w:p w:rsidR="00C24DEF" w:rsidRPr="00EE426C" w:rsidRDefault="009B2539" w:rsidP="00C24DEF">
      <w:pPr>
        <w:pStyle w:val="p1a"/>
      </w:pPr>
      <w:r w:rsidRPr="00EE426C">
        <w:t>Please note that the first paragraph of a section or subsection is not indented. The first paragraphs that follows a table, figure, equation etc. does not have an indent, either.</w:t>
      </w:r>
    </w:p>
    <w:p w:rsidR="00C24DEF" w:rsidRDefault="009B2539" w:rsidP="00C24DEF">
      <w:r>
        <w:t>Subsequent paragraphs, however, are indented.</w:t>
      </w:r>
    </w:p>
    <w:p w:rsidR="003E3370" w:rsidRDefault="009B2539" w:rsidP="009930E4">
      <w:pPr>
        <w:pStyle w:val="Heading3"/>
      </w:pPr>
      <w:r w:rsidRPr="009930E4">
        <w:rPr>
          <w:rStyle w:val="heading30"/>
        </w:rPr>
        <w:lastRenderedPageBreak/>
        <w:t>Sample Heading (Third Level).</w:t>
      </w:r>
      <w:r w:rsidRPr="003E3370">
        <w:rPr>
          <w:rStyle w:val="heading30"/>
        </w:rPr>
        <w:t xml:space="preserve"> </w:t>
      </w:r>
      <w:r>
        <w:rPr>
          <w:rStyle w:val="heading30"/>
          <w:b w:val="0"/>
        </w:rPr>
        <w:t>Only two levels of headings should be numbered. Lower level headings remain unnumbered; they are formatted as run-in headings.</w:t>
      </w:r>
    </w:p>
    <w:p w:rsidR="003E3370" w:rsidRDefault="009B2539" w:rsidP="009930E4">
      <w:pPr>
        <w:pStyle w:val="Heading4"/>
        <w:rPr>
          <w:rStyle w:val="heading40"/>
          <w:i w:val="0"/>
        </w:rPr>
      </w:pPr>
      <w:r w:rsidRPr="009930E4">
        <w:rPr>
          <w:rStyle w:val="heading40"/>
        </w:rPr>
        <w:t>Sample Heading (Forth Level).</w:t>
      </w:r>
      <w:r w:rsidRPr="003E3370">
        <w:rPr>
          <w:rStyle w:val="heading40"/>
          <w:i w:val="0"/>
        </w:rPr>
        <w:t xml:space="preserve"> </w:t>
      </w:r>
      <w:r>
        <w:rPr>
          <w:rStyle w:val="heading40"/>
          <w:i w:val="0"/>
        </w:rPr>
        <w:t xml:space="preserve">The contribution should contain no more than four levels of headings. The following </w:t>
      </w:r>
      <w:r w:rsidRPr="00A97482">
        <w:rPr>
          <w:rStyle w:val="heading40"/>
          <w:i w:val="0"/>
        </w:rPr>
        <w:fldChar w:fldCharType="begin"/>
      </w:r>
      <w:r w:rsidRPr="00A97482">
        <w:rPr>
          <w:rStyle w:val="heading40"/>
          <w:i w:val="0"/>
        </w:rPr>
        <w:instrText xml:space="preserve"> REF _Ref467509391 \h  \* MERGEFORMAT </w:instrText>
      </w:r>
      <w:r w:rsidRPr="00A97482">
        <w:rPr>
          <w:rStyle w:val="heading40"/>
          <w:i w:val="0"/>
        </w:rPr>
      </w:r>
      <w:r w:rsidRPr="00A97482">
        <w:rPr>
          <w:rStyle w:val="heading40"/>
          <w:i w:val="0"/>
        </w:rPr>
        <w:fldChar w:fldCharType="separate"/>
      </w:r>
      <w:r w:rsidRPr="00EE1BBB">
        <w:t xml:space="preserve">Table </w:t>
      </w:r>
      <w:r w:rsidRPr="00EE1BBB">
        <w:rPr>
          <w:noProof/>
        </w:rPr>
        <w:t>1</w:t>
      </w:r>
      <w:r w:rsidRPr="00A97482">
        <w:rPr>
          <w:rStyle w:val="heading40"/>
          <w:i w:val="0"/>
        </w:rPr>
        <w:fldChar w:fldCharType="end"/>
      </w:r>
      <w:r>
        <w:rPr>
          <w:rStyle w:val="heading40"/>
          <w:i w:val="0"/>
        </w:rPr>
        <w:t xml:space="preserve"> gives a summary of all heading levels.</w:t>
      </w:r>
    </w:p>
    <w:p w:rsidR="002D3488" w:rsidRDefault="009B2539" w:rsidP="00DB42F5">
      <w:pPr>
        <w:pStyle w:val="tablecaption"/>
      </w:pPr>
      <w:bookmarkStart w:id="1" w:name="_Ref467509391"/>
      <w:r>
        <w:rPr>
          <w:b/>
        </w:rPr>
        <w:t xml:space="preserve">Table </w:t>
      </w:r>
      <w:r>
        <w:rPr>
          <w:b/>
        </w:rPr>
        <w:fldChar w:fldCharType="begin"/>
      </w:r>
      <w:r>
        <w:rPr>
          <w:b/>
        </w:rPr>
        <w:instrText xml:space="preserve"> SEQ "Table" \* MERGEFORMAT </w:instrText>
      </w:r>
      <w:r>
        <w:rPr>
          <w:b/>
        </w:rPr>
        <w:fldChar w:fldCharType="separate"/>
      </w:r>
      <w:r w:rsidR="00A964D9">
        <w:rPr>
          <w:b/>
          <w:noProof/>
        </w:rPr>
        <w:t>1</w:t>
      </w:r>
      <w:r>
        <w:rPr>
          <w:b/>
        </w:rPr>
        <w:fldChar w:fldCharType="end"/>
      </w:r>
      <w:bookmarkEnd w:id="1"/>
      <w:r>
        <w:rPr>
          <w:b/>
        </w:rPr>
        <w:t>.</w:t>
      </w:r>
      <w:r>
        <w:t xml:space="preserve"> </w:t>
      </w:r>
      <w:r w:rsidRPr="00DB42F5">
        <w:t>Table</w:t>
      </w:r>
      <w:r>
        <w:t xml:space="preserve"> captions should be placed above the tables.</w:t>
      </w:r>
    </w:p>
    <w:tbl>
      <w:tblPr>
        <w:tblW w:w="6889" w:type="dxa"/>
        <w:jc w:val="center"/>
        <w:tblLayout w:type="fixed"/>
        <w:tblCellMar>
          <w:left w:w="70" w:type="dxa"/>
          <w:right w:w="70" w:type="dxa"/>
        </w:tblCellMar>
        <w:tblLook w:val="0000" w:firstRow="0" w:lastRow="0" w:firstColumn="0" w:lastColumn="0" w:noHBand="0" w:noVBand="0"/>
      </w:tblPr>
      <w:tblGrid>
        <w:gridCol w:w="1692"/>
        <w:gridCol w:w="3444"/>
        <w:gridCol w:w="1753"/>
      </w:tblGrid>
      <w:tr w:rsidR="00A97482" w:rsidRPr="009A3755" w:rsidTr="0051304D">
        <w:trPr>
          <w:jc w:val="center"/>
        </w:trPr>
        <w:tc>
          <w:tcPr>
            <w:tcW w:w="1664" w:type="dxa"/>
            <w:tcBorders>
              <w:top w:val="single" w:sz="12" w:space="0" w:color="000000"/>
              <w:bottom w:val="single" w:sz="6" w:space="0" w:color="000000"/>
            </w:tcBorders>
          </w:tcPr>
          <w:p w:rsidR="00A97482" w:rsidRPr="009A3755" w:rsidRDefault="009B2539" w:rsidP="0051304D">
            <w:pPr>
              <w:ind w:firstLine="0"/>
              <w:jc w:val="left"/>
              <w:rPr>
                <w:sz w:val="18"/>
                <w:szCs w:val="18"/>
              </w:rPr>
            </w:pPr>
            <w:r w:rsidRPr="009A3755">
              <w:rPr>
                <w:sz w:val="18"/>
                <w:szCs w:val="18"/>
              </w:rPr>
              <w:t>Heading level</w:t>
            </w:r>
          </w:p>
        </w:tc>
        <w:tc>
          <w:tcPr>
            <w:tcW w:w="3387" w:type="dxa"/>
            <w:tcBorders>
              <w:top w:val="single" w:sz="12" w:space="0" w:color="000000"/>
              <w:bottom w:val="single" w:sz="6" w:space="0" w:color="000000"/>
            </w:tcBorders>
          </w:tcPr>
          <w:p w:rsidR="00A97482" w:rsidRPr="009A3755" w:rsidRDefault="009B2539" w:rsidP="0051304D">
            <w:pPr>
              <w:ind w:firstLine="0"/>
              <w:jc w:val="left"/>
              <w:rPr>
                <w:sz w:val="18"/>
                <w:szCs w:val="18"/>
              </w:rPr>
            </w:pPr>
            <w:r w:rsidRPr="009A3755">
              <w:rPr>
                <w:sz w:val="18"/>
                <w:szCs w:val="18"/>
              </w:rPr>
              <w:t>Example</w:t>
            </w:r>
          </w:p>
        </w:tc>
        <w:tc>
          <w:tcPr>
            <w:tcW w:w="1724" w:type="dxa"/>
            <w:tcBorders>
              <w:top w:val="single" w:sz="12" w:space="0" w:color="000000"/>
              <w:bottom w:val="single" w:sz="6" w:space="0" w:color="000000"/>
            </w:tcBorders>
          </w:tcPr>
          <w:p w:rsidR="00A97482" w:rsidRPr="009A3755" w:rsidRDefault="009B2539" w:rsidP="0051304D">
            <w:pPr>
              <w:ind w:firstLine="0"/>
              <w:jc w:val="left"/>
              <w:rPr>
                <w:sz w:val="18"/>
                <w:szCs w:val="18"/>
              </w:rPr>
            </w:pPr>
            <w:r w:rsidRPr="009A3755">
              <w:rPr>
                <w:sz w:val="18"/>
                <w:szCs w:val="18"/>
              </w:rPr>
              <w:t>Font size and style</w:t>
            </w:r>
          </w:p>
        </w:tc>
      </w:tr>
      <w:tr w:rsidR="00A97482" w:rsidRPr="009A3755" w:rsidTr="0051304D">
        <w:trPr>
          <w:trHeight w:val="284"/>
          <w:jc w:val="center"/>
        </w:trPr>
        <w:tc>
          <w:tcPr>
            <w:tcW w:w="1664" w:type="dxa"/>
            <w:vAlign w:val="center"/>
          </w:tcPr>
          <w:p w:rsidR="00A97482" w:rsidRPr="009A3755" w:rsidRDefault="009B2539" w:rsidP="0051304D">
            <w:pPr>
              <w:ind w:firstLine="0"/>
              <w:jc w:val="left"/>
              <w:rPr>
                <w:sz w:val="18"/>
                <w:szCs w:val="18"/>
              </w:rPr>
            </w:pPr>
            <w:r w:rsidRPr="009A3755">
              <w:rPr>
                <w:sz w:val="18"/>
                <w:szCs w:val="18"/>
              </w:rPr>
              <w:t>Title (centered)</w:t>
            </w:r>
          </w:p>
        </w:tc>
        <w:tc>
          <w:tcPr>
            <w:tcW w:w="3387" w:type="dxa"/>
            <w:vAlign w:val="center"/>
          </w:tcPr>
          <w:p w:rsidR="00A97482" w:rsidRPr="009A3755" w:rsidRDefault="009B2539" w:rsidP="0051304D">
            <w:pPr>
              <w:ind w:firstLine="0"/>
              <w:jc w:val="left"/>
              <w:rPr>
                <w:sz w:val="18"/>
                <w:szCs w:val="18"/>
              </w:rPr>
            </w:pPr>
            <w:r w:rsidRPr="00192151">
              <w:rPr>
                <w:b/>
                <w:bCs/>
                <w:sz w:val="28"/>
                <w:szCs w:val="25"/>
              </w:rPr>
              <w:t>Lecture Notes</w:t>
            </w:r>
          </w:p>
        </w:tc>
        <w:tc>
          <w:tcPr>
            <w:tcW w:w="1724" w:type="dxa"/>
            <w:vAlign w:val="center"/>
          </w:tcPr>
          <w:p w:rsidR="00A97482" w:rsidRPr="009A3755" w:rsidRDefault="009B2539" w:rsidP="0051304D">
            <w:pPr>
              <w:ind w:firstLine="0"/>
              <w:jc w:val="left"/>
              <w:rPr>
                <w:sz w:val="18"/>
                <w:szCs w:val="18"/>
              </w:rPr>
            </w:pPr>
            <w:r w:rsidRPr="009A3755">
              <w:rPr>
                <w:sz w:val="18"/>
                <w:szCs w:val="18"/>
              </w:rPr>
              <w:t>14 point, bold</w:t>
            </w:r>
          </w:p>
        </w:tc>
      </w:tr>
      <w:tr w:rsidR="00A97482" w:rsidRPr="009A3755" w:rsidTr="0051304D">
        <w:trPr>
          <w:trHeight w:val="284"/>
          <w:jc w:val="center"/>
        </w:trPr>
        <w:tc>
          <w:tcPr>
            <w:tcW w:w="1664" w:type="dxa"/>
            <w:vAlign w:val="center"/>
          </w:tcPr>
          <w:p w:rsidR="00A97482" w:rsidRPr="009A3755" w:rsidRDefault="009B2539" w:rsidP="0051304D">
            <w:pPr>
              <w:ind w:firstLine="0"/>
              <w:jc w:val="left"/>
              <w:rPr>
                <w:sz w:val="18"/>
                <w:szCs w:val="18"/>
              </w:rPr>
            </w:pPr>
            <w:r w:rsidRPr="009A3755">
              <w:rPr>
                <w:sz w:val="18"/>
                <w:szCs w:val="18"/>
              </w:rPr>
              <w:t>1</w:t>
            </w:r>
            <w:r w:rsidRPr="009A3755">
              <w:rPr>
                <w:sz w:val="18"/>
                <w:szCs w:val="18"/>
                <w:vertAlign w:val="superscript"/>
              </w:rPr>
              <w:t>st</w:t>
            </w:r>
            <w:r w:rsidRPr="009A3755">
              <w:rPr>
                <w:sz w:val="18"/>
                <w:szCs w:val="18"/>
              </w:rPr>
              <w:t>-level heading</w:t>
            </w:r>
          </w:p>
        </w:tc>
        <w:tc>
          <w:tcPr>
            <w:tcW w:w="3387" w:type="dxa"/>
            <w:vAlign w:val="center"/>
          </w:tcPr>
          <w:p w:rsidR="00A97482" w:rsidRPr="009A3755" w:rsidRDefault="009B2539" w:rsidP="0051304D">
            <w:pPr>
              <w:ind w:firstLine="0"/>
              <w:jc w:val="left"/>
              <w:rPr>
                <w:sz w:val="18"/>
                <w:szCs w:val="18"/>
              </w:rPr>
            </w:pPr>
            <w:r w:rsidRPr="00192151">
              <w:rPr>
                <w:b/>
                <w:bCs/>
                <w:sz w:val="24"/>
                <w:szCs w:val="21"/>
              </w:rPr>
              <w:t>1 Introduction</w:t>
            </w:r>
          </w:p>
        </w:tc>
        <w:tc>
          <w:tcPr>
            <w:tcW w:w="1724" w:type="dxa"/>
            <w:vAlign w:val="center"/>
          </w:tcPr>
          <w:p w:rsidR="00A97482" w:rsidRPr="009A3755" w:rsidRDefault="009B2539" w:rsidP="0051304D">
            <w:pPr>
              <w:ind w:firstLine="0"/>
              <w:jc w:val="left"/>
              <w:rPr>
                <w:sz w:val="18"/>
                <w:szCs w:val="18"/>
              </w:rPr>
            </w:pPr>
            <w:r w:rsidRPr="009A3755">
              <w:rPr>
                <w:sz w:val="18"/>
                <w:szCs w:val="18"/>
              </w:rPr>
              <w:t>12 point, bold</w:t>
            </w:r>
          </w:p>
        </w:tc>
      </w:tr>
      <w:tr w:rsidR="00A97482" w:rsidRPr="009A3755" w:rsidTr="0051304D">
        <w:trPr>
          <w:trHeight w:val="284"/>
          <w:jc w:val="center"/>
        </w:trPr>
        <w:tc>
          <w:tcPr>
            <w:tcW w:w="1664" w:type="dxa"/>
            <w:vAlign w:val="center"/>
          </w:tcPr>
          <w:p w:rsidR="00A97482" w:rsidRPr="009A3755" w:rsidRDefault="009B2539" w:rsidP="0051304D">
            <w:pPr>
              <w:ind w:firstLine="0"/>
              <w:jc w:val="left"/>
              <w:rPr>
                <w:sz w:val="18"/>
                <w:szCs w:val="18"/>
              </w:rPr>
            </w:pPr>
            <w:r w:rsidRPr="009A3755">
              <w:rPr>
                <w:sz w:val="18"/>
                <w:szCs w:val="18"/>
              </w:rPr>
              <w:t>2</w:t>
            </w:r>
            <w:r w:rsidRPr="009A3755">
              <w:rPr>
                <w:sz w:val="18"/>
                <w:szCs w:val="18"/>
                <w:vertAlign w:val="superscript"/>
              </w:rPr>
              <w:t>nd</w:t>
            </w:r>
            <w:r w:rsidRPr="009A3755">
              <w:rPr>
                <w:sz w:val="18"/>
                <w:szCs w:val="18"/>
              </w:rPr>
              <w:t>-level heading</w:t>
            </w:r>
          </w:p>
        </w:tc>
        <w:tc>
          <w:tcPr>
            <w:tcW w:w="3387" w:type="dxa"/>
            <w:vAlign w:val="center"/>
          </w:tcPr>
          <w:p w:rsidR="00A97482" w:rsidRPr="009A3755" w:rsidRDefault="009B2539" w:rsidP="0051304D">
            <w:pPr>
              <w:ind w:firstLine="0"/>
              <w:jc w:val="left"/>
              <w:rPr>
                <w:sz w:val="18"/>
                <w:szCs w:val="18"/>
              </w:rPr>
            </w:pPr>
            <w:r w:rsidRPr="00192151">
              <w:rPr>
                <w:b/>
                <w:bCs/>
                <w:szCs w:val="18"/>
              </w:rPr>
              <w:t>2.1 Printing Area</w:t>
            </w:r>
          </w:p>
        </w:tc>
        <w:tc>
          <w:tcPr>
            <w:tcW w:w="1724" w:type="dxa"/>
            <w:vAlign w:val="center"/>
          </w:tcPr>
          <w:p w:rsidR="00A97482" w:rsidRPr="009A3755" w:rsidRDefault="009B2539" w:rsidP="0051304D">
            <w:pPr>
              <w:ind w:firstLine="0"/>
              <w:jc w:val="left"/>
              <w:rPr>
                <w:sz w:val="18"/>
                <w:szCs w:val="18"/>
              </w:rPr>
            </w:pPr>
            <w:r w:rsidRPr="009A3755">
              <w:rPr>
                <w:sz w:val="18"/>
                <w:szCs w:val="18"/>
              </w:rPr>
              <w:t>10 point, bold</w:t>
            </w:r>
          </w:p>
        </w:tc>
      </w:tr>
      <w:tr w:rsidR="00A97482" w:rsidRPr="009A3755" w:rsidTr="0051304D">
        <w:trPr>
          <w:trHeight w:val="284"/>
          <w:jc w:val="center"/>
        </w:trPr>
        <w:tc>
          <w:tcPr>
            <w:tcW w:w="1664" w:type="dxa"/>
            <w:vAlign w:val="center"/>
          </w:tcPr>
          <w:p w:rsidR="00A97482" w:rsidRPr="009A3755" w:rsidRDefault="009B2539" w:rsidP="0051304D">
            <w:pPr>
              <w:ind w:firstLine="0"/>
              <w:jc w:val="left"/>
              <w:rPr>
                <w:sz w:val="18"/>
                <w:szCs w:val="18"/>
              </w:rPr>
            </w:pPr>
            <w:r w:rsidRPr="009A3755">
              <w:rPr>
                <w:sz w:val="18"/>
                <w:szCs w:val="18"/>
              </w:rPr>
              <w:t>3</w:t>
            </w:r>
            <w:r w:rsidRPr="009A3755">
              <w:rPr>
                <w:sz w:val="18"/>
                <w:szCs w:val="18"/>
                <w:vertAlign w:val="superscript"/>
              </w:rPr>
              <w:t>rd</w:t>
            </w:r>
            <w:r w:rsidRPr="009A3755">
              <w:rPr>
                <w:sz w:val="18"/>
                <w:szCs w:val="18"/>
              </w:rPr>
              <w:t>-level heading</w:t>
            </w:r>
          </w:p>
        </w:tc>
        <w:tc>
          <w:tcPr>
            <w:tcW w:w="3387" w:type="dxa"/>
            <w:vAlign w:val="center"/>
          </w:tcPr>
          <w:p w:rsidR="00A97482" w:rsidRPr="009A3755" w:rsidRDefault="009B2539" w:rsidP="0051304D">
            <w:pPr>
              <w:ind w:firstLine="0"/>
              <w:jc w:val="left"/>
              <w:rPr>
                <w:sz w:val="18"/>
                <w:szCs w:val="18"/>
              </w:rPr>
            </w:pPr>
            <w:r w:rsidRPr="00192151">
              <w:rPr>
                <w:b/>
                <w:bCs/>
                <w:szCs w:val="18"/>
              </w:rPr>
              <w:t>Run-in Heading in Bold.</w:t>
            </w:r>
            <w:r w:rsidRPr="00192151">
              <w:rPr>
                <w:szCs w:val="18"/>
              </w:rPr>
              <w:t xml:space="preserve"> Text follows</w:t>
            </w:r>
          </w:p>
        </w:tc>
        <w:tc>
          <w:tcPr>
            <w:tcW w:w="1724" w:type="dxa"/>
            <w:vAlign w:val="center"/>
          </w:tcPr>
          <w:p w:rsidR="00A97482" w:rsidRPr="009A3755" w:rsidRDefault="009B2539" w:rsidP="0051304D">
            <w:pPr>
              <w:ind w:firstLine="0"/>
              <w:jc w:val="left"/>
              <w:rPr>
                <w:sz w:val="18"/>
                <w:szCs w:val="18"/>
              </w:rPr>
            </w:pPr>
            <w:r w:rsidRPr="009A3755">
              <w:rPr>
                <w:sz w:val="18"/>
                <w:szCs w:val="18"/>
              </w:rPr>
              <w:t>10 point, bold</w:t>
            </w:r>
          </w:p>
        </w:tc>
      </w:tr>
      <w:tr w:rsidR="00A97482" w:rsidRPr="009A3755" w:rsidTr="0051304D">
        <w:trPr>
          <w:trHeight w:val="284"/>
          <w:jc w:val="center"/>
        </w:trPr>
        <w:tc>
          <w:tcPr>
            <w:tcW w:w="1664" w:type="dxa"/>
            <w:tcBorders>
              <w:bottom w:val="single" w:sz="12" w:space="0" w:color="000000"/>
            </w:tcBorders>
            <w:vAlign w:val="center"/>
          </w:tcPr>
          <w:p w:rsidR="00A97482" w:rsidRPr="009A3755" w:rsidRDefault="009B2539" w:rsidP="0051304D">
            <w:pPr>
              <w:ind w:firstLine="0"/>
              <w:jc w:val="left"/>
              <w:rPr>
                <w:sz w:val="18"/>
                <w:szCs w:val="18"/>
              </w:rPr>
            </w:pPr>
            <w:r w:rsidRPr="009A3755">
              <w:rPr>
                <w:sz w:val="18"/>
                <w:szCs w:val="18"/>
              </w:rPr>
              <w:t>4</w:t>
            </w:r>
            <w:r w:rsidRPr="009A3755">
              <w:rPr>
                <w:sz w:val="18"/>
                <w:szCs w:val="18"/>
                <w:vertAlign w:val="superscript"/>
              </w:rPr>
              <w:t>th</w:t>
            </w:r>
            <w:r w:rsidRPr="009A3755">
              <w:rPr>
                <w:sz w:val="18"/>
                <w:szCs w:val="18"/>
              </w:rPr>
              <w:t>-level heading</w:t>
            </w:r>
          </w:p>
        </w:tc>
        <w:tc>
          <w:tcPr>
            <w:tcW w:w="3387" w:type="dxa"/>
            <w:tcBorders>
              <w:bottom w:val="single" w:sz="12" w:space="0" w:color="000000"/>
            </w:tcBorders>
            <w:vAlign w:val="center"/>
          </w:tcPr>
          <w:p w:rsidR="00A97482" w:rsidRPr="009A3755" w:rsidRDefault="009B2539" w:rsidP="0051304D">
            <w:pPr>
              <w:ind w:firstLine="0"/>
              <w:jc w:val="left"/>
              <w:rPr>
                <w:sz w:val="18"/>
                <w:szCs w:val="18"/>
              </w:rPr>
            </w:pPr>
            <w:r w:rsidRPr="00192151">
              <w:rPr>
                <w:i/>
                <w:iCs/>
                <w:szCs w:val="18"/>
              </w:rPr>
              <w:t>Lowest Level Heading.</w:t>
            </w:r>
            <w:r w:rsidRPr="00192151">
              <w:rPr>
                <w:szCs w:val="18"/>
              </w:rPr>
              <w:t xml:space="preserve"> Text follows</w:t>
            </w:r>
          </w:p>
        </w:tc>
        <w:tc>
          <w:tcPr>
            <w:tcW w:w="1724" w:type="dxa"/>
            <w:tcBorders>
              <w:bottom w:val="single" w:sz="12" w:space="0" w:color="000000"/>
            </w:tcBorders>
            <w:vAlign w:val="center"/>
          </w:tcPr>
          <w:p w:rsidR="00A97482" w:rsidRPr="009A3755" w:rsidRDefault="009B2539" w:rsidP="0051304D">
            <w:pPr>
              <w:ind w:firstLine="0"/>
              <w:jc w:val="left"/>
              <w:rPr>
                <w:sz w:val="18"/>
                <w:szCs w:val="18"/>
              </w:rPr>
            </w:pPr>
            <w:r w:rsidRPr="009A3755">
              <w:rPr>
                <w:sz w:val="18"/>
                <w:szCs w:val="18"/>
              </w:rPr>
              <w:t>10 point, italic</w:t>
            </w:r>
          </w:p>
        </w:tc>
      </w:tr>
    </w:tbl>
    <w:p w:rsidR="00EE1BBB" w:rsidRDefault="009B2539" w:rsidP="00EC51EE">
      <w:pPr>
        <w:spacing w:before="240"/>
        <w:ind w:firstLine="0"/>
      </w:pPr>
      <w:r>
        <w:t xml:space="preserve">Displayed equations are centered and set on a separate line. </w:t>
      </w:r>
    </w:p>
    <w:p w:rsidR="00EE1BBB" w:rsidRDefault="009B2539" w:rsidP="00EE1BBB">
      <w:pPr>
        <w:pStyle w:val="equation"/>
      </w:pPr>
      <w:r>
        <w:rPr>
          <w:i/>
        </w:rPr>
        <w:tab/>
        <w:t>x</w:t>
      </w:r>
      <w:r>
        <w:t xml:space="preserve"> + </w:t>
      </w:r>
      <w:r>
        <w:rPr>
          <w:i/>
        </w:rPr>
        <w:t>y</w:t>
      </w:r>
      <w:r>
        <w:t xml:space="preserve"> = </w:t>
      </w:r>
      <w:r>
        <w:rPr>
          <w:i/>
        </w:rPr>
        <w:t>z</w:t>
      </w:r>
      <w:r>
        <w:tab/>
        <w:t>(</w:t>
      </w:r>
      <w:r w:rsidR="00153B79">
        <w:fldChar w:fldCharType="begin"/>
      </w:r>
      <w:r w:rsidR="00153B79">
        <w:instrText xml:space="preserve"> SEQ "Equation" \n \* MERGEFORMAT </w:instrText>
      </w:r>
      <w:r w:rsidR="00153B79">
        <w:fldChar w:fldCharType="separate"/>
      </w:r>
      <w:r w:rsidR="00A964D9">
        <w:rPr>
          <w:noProof/>
        </w:rPr>
        <w:t>1</w:t>
      </w:r>
      <w:r w:rsidR="00153B79">
        <w:rPr>
          <w:noProof/>
        </w:rPr>
        <w:fldChar w:fldCharType="end"/>
      </w:r>
      <w:bookmarkStart w:id="2" w:name="_Ref467511674"/>
      <w:bookmarkEnd w:id="2"/>
      <w:r>
        <w:t>)</w:t>
      </w:r>
    </w:p>
    <w:p w:rsidR="001D7555" w:rsidRPr="00D000D8" w:rsidRDefault="009B2539" w:rsidP="00D000D8">
      <w:pPr>
        <w:pStyle w:val="p1a"/>
        <w:tabs>
          <w:tab w:val="left" w:pos="1929"/>
        </w:tabs>
      </w:pPr>
      <w:r w:rsidRPr="00D000D8">
        <w:t xml:space="preserve">Please try to avoid rasterized images for line-art diagrams and schemas. Whenever possible, use vector graphics instead (see </w:t>
      </w:r>
      <w:r w:rsidRPr="00D000D8">
        <w:fldChar w:fldCharType="begin"/>
      </w:r>
      <w:r w:rsidRPr="00D000D8">
        <w:instrText xml:space="preserve"> REF _Ref467515387 \h  \* MERGEFORMAT </w:instrText>
      </w:r>
      <w:r w:rsidRPr="00D000D8">
        <w:fldChar w:fldCharType="separate"/>
      </w:r>
      <w:r w:rsidRPr="00D000D8">
        <w:t>Fig. 1</w:t>
      </w:r>
      <w:r w:rsidRPr="00D000D8">
        <w:fldChar w:fldCharType="end"/>
      </w:r>
      <w:r w:rsidRPr="00D000D8">
        <w:t>).</w:t>
      </w:r>
    </w:p>
    <w:p w:rsidR="00EE1BBB" w:rsidRPr="00EE1BBB" w:rsidRDefault="009B2539" w:rsidP="00EE1BBB">
      <w:pPr>
        <w:spacing w:before="360"/>
        <w:ind w:left="227" w:hanging="227"/>
      </w:pPr>
      <w:r>
        <w:rPr>
          <w:noProof/>
          <w:lang w:val="en-IN" w:eastAsia="en-IN"/>
        </w:rPr>
        <w:drawing>
          <wp:inline distT="0" distB="0" distL="0" distR="0" wp14:anchorId="30F54B94" wp14:editId="4D613A04">
            <wp:extent cx="4392930" cy="1859266"/>
            <wp:effectExtent l="0" t="0" r="7620" b="8255"/>
            <wp:docPr id="1" name="Diagramm 1"/>
            <wp:cNvGraphicFramePr/>
            <a:graphic xmlns:a="http://schemas.openxmlformats.org/drawingml/2006/main">
              <a:graphicData uri="http://schemas.openxmlformats.org/drawingml/2006/chart">
                <c:chart xmlns:c="http://schemas.openxmlformats.org/drawingml/2006/chart" xmlns:r="http://schemas.openxmlformats.org/officeDocument/2006/relationships" r:id="rId8"/>
              </a:graphicData>
            </a:graphic>
          </wp:inline>
        </w:drawing>
      </w:r>
    </w:p>
    <w:p w:rsidR="002D3488" w:rsidRDefault="009B2539" w:rsidP="001D7555">
      <w:pPr>
        <w:pStyle w:val="figurecaption"/>
        <w:jc w:val="both"/>
      </w:pPr>
      <w:bookmarkStart w:id="3" w:name="_Ref467515387"/>
      <w:r>
        <w:rPr>
          <w:b/>
        </w:rPr>
        <w:t xml:space="preserve">Fig. </w:t>
      </w:r>
      <w:r>
        <w:rPr>
          <w:b/>
        </w:rPr>
        <w:fldChar w:fldCharType="begin"/>
      </w:r>
      <w:r>
        <w:rPr>
          <w:b/>
        </w:rPr>
        <w:instrText xml:space="preserve"> SEQ "Figure" \* MERGEFORMAT </w:instrText>
      </w:r>
      <w:r>
        <w:rPr>
          <w:b/>
        </w:rPr>
        <w:fldChar w:fldCharType="separate"/>
      </w:r>
      <w:r w:rsidR="00A964D9">
        <w:rPr>
          <w:b/>
          <w:noProof/>
        </w:rPr>
        <w:t>1</w:t>
      </w:r>
      <w:r>
        <w:rPr>
          <w:b/>
        </w:rPr>
        <w:fldChar w:fldCharType="end"/>
      </w:r>
      <w:bookmarkEnd w:id="3"/>
      <w:r>
        <w:rPr>
          <w:b/>
        </w:rPr>
        <w:t>.</w:t>
      </w:r>
      <w:r>
        <w:t xml:space="preserve"> A f</w:t>
      </w:r>
      <w:r w:rsidRPr="002D3488">
        <w:t>igure</w:t>
      </w:r>
      <w:r>
        <w:t xml:space="preserve"> caption is always placed below the illustration. Short captions are centered, while long ones are justified. The macro button chooses the correct format automatically.</w:t>
      </w:r>
    </w:p>
    <w:p w:rsidR="002D48C5" w:rsidRPr="00F55A71" w:rsidRDefault="002D48C5" w:rsidP="002D48C5">
      <w:pPr>
        <w:pStyle w:val="p1a"/>
      </w:pPr>
      <w:r w:rsidRPr="00F55A71">
        <w:t>For citations of references, we prefer the use of square brackets and consecutive numbers. Citations using labels or the author/year convention are also acceptable. The following bibliography provides a sample reference list with entries for journal articles [1], an LNCS chapter [2], a book [3], proceedings without editors [4], as well as a URL [5].</w:t>
      </w:r>
    </w:p>
    <w:p w:rsidR="00606587" w:rsidRDefault="009B2539" w:rsidP="00606587">
      <w:pPr>
        <w:pStyle w:val="heading1"/>
        <w:numPr>
          <w:ilvl w:val="0"/>
          <w:numId w:val="0"/>
        </w:numPr>
        <w:ind w:left="567" w:hanging="567"/>
      </w:pPr>
      <w:r>
        <w:lastRenderedPageBreak/>
        <w:t>References</w:t>
      </w:r>
    </w:p>
    <w:p w:rsidR="00606587" w:rsidRDefault="009B2539" w:rsidP="00606587">
      <w:pPr>
        <w:pStyle w:val="referenceitem"/>
      </w:pPr>
      <w:r>
        <w:t>Author, F.: Article title. Journal 2(5), 99–110 (2016).</w:t>
      </w:r>
    </w:p>
    <w:p w:rsidR="00606587" w:rsidRDefault="009B2539" w:rsidP="00606587">
      <w:pPr>
        <w:pStyle w:val="referenceitem"/>
      </w:pPr>
      <w:r>
        <w:t xml:space="preserve">Author, F., Author, S.: Title of a proceedings paper. In: Editor, F., Editor, S. (eds.) CONFERENCE 2016, LNCS, vol. 9999, pp. 1–13. Springer, Heidelberg (2016). </w:t>
      </w:r>
    </w:p>
    <w:p w:rsidR="002D3488" w:rsidRDefault="009B2539" w:rsidP="00606587">
      <w:pPr>
        <w:pStyle w:val="referenceitem"/>
      </w:pPr>
      <w:r>
        <w:t xml:space="preserve">Author, F., Author, S., Author, T.: Book title. 2nd </w:t>
      </w:r>
      <w:proofErr w:type="spellStart"/>
      <w:r>
        <w:t>edn</w:t>
      </w:r>
      <w:proofErr w:type="spellEnd"/>
      <w:r>
        <w:t>. Publisher, Location (1999).</w:t>
      </w:r>
    </w:p>
    <w:p w:rsidR="002C5825" w:rsidRDefault="009B2539" w:rsidP="00606587">
      <w:pPr>
        <w:pStyle w:val="referenceitem"/>
      </w:pPr>
      <w:r>
        <w:t>Author, F.: Contribution title. In: 9th International Proceedings on Proceedings, pp. 1–2. Publisher, Location (2010).</w:t>
      </w:r>
    </w:p>
    <w:p w:rsidR="00F5783C" w:rsidRPr="00606587" w:rsidRDefault="009B2539" w:rsidP="00606587">
      <w:pPr>
        <w:pStyle w:val="referenceitem"/>
      </w:pPr>
      <w:r>
        <w:t xml:space="preserve">LNCS Homepage, </w:t>
      </w:r>
      <w:hyperlink r:id="rId9" w:history="1">
        <w:r w:rsidRPr="00FB3EC4">
          <w:rPr>
            <w:rStyle w:val="Hyperlink"/>
          </w:rPr>
          <w:t>http://www.springer.com/lncs</w:t>
        </w:r>
      </w:hyperlink>
      <w:r>
        <w:t>, last accessed 2016/11/21.</w:t>
      </w:r>
    </w:p>
    <w:sectPr w:rsidR="00F5783C" w:rsidRPr="00606587" w:rsidSect="009F7FCE">
      <w:headerReference w:type="even" r:id="rId10"/>
      <w:headerReference w:type="default" r:id="rId11"/>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153B79" w:rsidRDefault="00153B79">
      <w:r>
        <w:separator/>
      </w:r>
    </w:p>
  </w:endnote>
  <w:endnote w:type="continuationSeparator" w:id="0">
    <w:p w:rsidR="00153B79" w:rsidRDefault="00153B79">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panose1 w:val="02070409020205020404"/>
    <w:charset w:val="00"/>
    <w:family w:val="modern"/>
    <w:notTrueType/>
    <w:pitch w:val="fixed"/>
    <w:sig w:usb0="00000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153B79" w:rsidRDefault="00153B79" w:rsidP="009F7FCE">
      <w:pPr>
        <w:ind w:firstLine="0"/>
      </w:pPr>
      <w:r>
        <w:separator/>
      </w:r>
    </w:p>
  </w:footnote>
  <w:footnote w:type="continuationSeparator" w:id="0">
    <w:p w:rsidR="00153B79" w:rsidRDefault="00153B79" w:rsidP="009F7FCE">
      <w:pPr>
        <w:ind w:firstLine="0"/>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B2539" w:rsidRDefault="009B2539" w:rsidP="00F321B4">
    <w:pPr>
      <w:pStyle w:val="Header"/>
    </w:pPr>
    <w:r>
      <w:fldChar w:fldCharType="begin"/>
    </w:r>
    <w:r>
      <w:instrText>PAGE   \* MERGEFORMAT</w:instrText>
    </w:r>
    <w:r>
      <w:fldChar w:fldCharType="separate"/>
    </w:r>
    <w:r w:rsidR="00926BD6">
      <w:rPr>
        <w:noProof/>
      </w:rPr>
      <w:t>4</w:t>
    </w:r>
    <w:r>
      <w:fldChar w:fldCharType="end"/>
    </w: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2D48C5" w:rsidRDefault="002D48C5" w:rsidP="002D48C5">
    <w:pPr>
      <w:pStyle w:val="Header"/>
      <w:jc w:val="right"/>
    </w:pPr>
    <w:r>
      <w:fldChar w:fldCharType="begin"/>
    </w:r>
    <w:r>
      <w:instrText>PAGE   \* MERGEFORMAT</w:instrText>
    </w:r>
    <w:r>
      <w:fldChar w:fldCharType="separate"/>
    </w:r>
    <w:r w:rsidR="00926BD6">
      <w:rPr>
        <w:noProof/>
      </w:rPr>
      <w:t>5</w:t>
    </w:r>
    <w:r>
      <w:fldChar w:fldCharType="end"/>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2">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3">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4">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0"/>
  </w:num>
  <w:num w:numId="2">
    <w:abstractNumId w:val="0"/>
  </w:num>
  <w:num w:numId="3">
    <w:abstractNumId w:val="1"/>
  </w:num>
  <w:num w:numId="4">
    <w:abstractNumId w:val="1"/>
  </w:num>
  <w:num w:numId="5">
    <w:abstractNumId w:val="3"/>
  </w:num>
  <w:num w:numId="6">
    <w:abstractNumId w:val="3"/>
  </w:num>
  <w:num w:numId="7">
    <w:abstractNumId w:val="2"/>
  </w:num>
  <w:num w:numId="8">
    <w:abstractNumId w:val="4"/>
  </w:num>
  <w:num w:numId="9">
    <w:abstractNumId w:val="4"/>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9F7FCE"/>
    <w:rsid w:val="0000058B"/>
    <w:rsid w:val="00153B79"/>
    <w:rsid w:val="001A02F0"/>
    <w:rsid w:val="002D48C5"/>
    <w:rsid w:val="008F2D4C"/>
    <w:rsid w:val="00926BD6"/>
    <w:rsid w:val="009930E4"/>
    <w:rsid w:val="009B2539"/>
    <w:rsid w:val="009F7FCE"/>
    <w:rsid w:val="00A964D9"/>
    <w:rsid w:val="00B23481"/>
    <w:rsid w:val="00C1456B"/>
    <w:rsid w:val="00DC2CA9"/>
    <w:rsid w:val="00E603C7"/>
    <w:rsid w:val="00F321B4"/>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5:docId w15:val="{AE3E1DDE-9F1A-401E-857B-A9AB5CE5EC3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1">
    <w:lsdException w:name="Normal" w:qFormat="1"/>
    <w:lsdException w:name="heading 2" w:semiHidden="1"/>
    <w:lsdException w:name="heading 3" w:semiHidden="1"/>
    <w:lsdException w:name="heading 4" w:semiHidden="1"/>
    <w:lsdException w:name="heading 5" w:semiHidden="1"/>
    <w:lsdException w:name="heading 6" w:semiHidden="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lsdException w:name="List 2" w:semiHidden="1" w:unhideWhenUsed="1"/>
    <w:lsdException w:name="List 3" w:semiHidden="1" w:unhideWhenUsed="1"/>
    <w:lsdException w:name="List 4" w:semiHidden="1"/>
    <w:lsdException w:name="List 5" w:semiHidden="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lsdException w:name="Salutation" w:semiHidden="1"/>
    <w:lsdException w:name="Date" w:semiHidden="1"/>
    <w:lsdException w:name="Body Text First Indent" w:semiHidden="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Bibliography" w:semiHidden="1" w:unhideWhenUsed="1"/>
    <w:lsdException w:name="TOC Heading" w:semiHidden="1"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semiHidden/>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file>

<file path=word/_rels/document.xml.rels><?xml version="1.0" encoding="UTF-8" standalone="yes"?>
<Relationships xmlns="http://schemas.openxmlformats.org/package/2006/relationships"><Relationship Id="rId8" Type="http://schemas.openxmlformats.org/officeDocument/2006/relationships/chart" Target="charts/chart1.xml"/><Relationship Id="rId13" Type="http://schemas.openxmlformats.org/officeDocument/2006/relationships/theme" Target="theme/theme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fontTable" Target="fontTable.xml"/><Relationship Id="rId2" Type="http://schemas.openxmlformats.org/officeDocument/2006/relationships/numbering" Target="numbering.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header" Target="header2.xml"/><Relationship Id="rId5" Type="http://schemas.openxmlformats.org/officeDocument/2006/relationships/webSettings" Target="webSettings.xml"/><Relationship Id="rId10" Type="http://schemas.openxmlformats.org/officeDocument/2006/relationships/header" Target="header1.xml"/><Relationship Id="rId4" Type="http://schemas.openxmlformats.org/officeDocument/2006/relationships/settings" Target="settings.xml"/><Relationship Id="rId9" Type="http://schemas.openxmlformats.org/officeDocument/2006/relationships/hyperlink" Target="http://www.springer.com/lncs"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charts/_rels/chart1.xml.rels><?xml version="1.0" encoding="UTF-8" standalone="yes"?>
<Relationships xmlns="http://schemas.openxmlformats.org/package/2006/relationships"><Relationship Id="rId1" Type="http://schemas.openxmlformats.org/officeDocument/2006/relationships/oleObject" Target="file:///\\DISKSTATION\backup\Springer\LNCS%20Templates\2016\Test.xlsx" TargetMode="External"/></Relationships>
</file>

<file path=word/charts/chart1.xml><?xml version="1.0" encoding="utf-8"?>
<c:chartSpace xmlns:c="http://schemas.openxmlformats.org/drawingml/2006/chart" xmlns:a="http://schemas.openxmlformats.org/drawingml/2006/main" xmlns:r="http://schemas.openxmlformats.org/officeDocument/2006/relationships">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autoTitleDeleted val="0"/>
    <c:plotArea>
      <c:layout>
        <c:manualLayout>
          <c:layoutTarget val="inner"/>
          <c:xMode val="edge"/>
          <c:yMode val="edge"/>
          <c:x val="5.0778005922154201E-2"/>
          <c:y val="5.1400554097404488E-2"/>
          <c:w val="0.94049952150364025"/>
          <c:h val="0.8326195683872849"/>
        </c:manualLayout>
      </c:layout>
      <c:lineChart>
        <c:grouping val="standard"/>
        <c:varyColors val="0"/>
        <c:ser>
          <c:idx val="0"/>
          <c:order val="0"/>
          <c:tx>
            <c:strRef>
              <c:f>Tabelle1!$B$1</c:f>
              <c:strCache>
                <c:ptCount val="1"/>
                <c:pt idx="0">
                  <c:v>Data A</c:v>
                </c:pt>
              </c:strCache>
            </c:strRef>
          </c:tx>
          <c:spPr>
            <a:ln w="12700">
              <a:solidFill>
                <a:schemeClr val="tx1"/>
              </a:solidFill>
              <a:prstDash val="sysDash"/>
            </a:ln>
          </c:spPr>
          <c:marker>
            <c:symbol val="none"/>
          </c:marker>
          <c:dPt>
            <c:idx val="9"/>
            <c:bubble3D val="0"/>
          </c:dPt>
          <c:cat>
            <c:numRef>
              <c:f>Tabelle1!$A$2:$A$32</c:f>
              <c:numCache>
                <c:formatCode>General</c:formatCode>
                <c:ptCount val="31"/>
                <c:pt idx="0">
                  <c:v>0</c:v>
                </c:pt>
                <c:pt idx="1">
                  <c:v>1</c:v>
                </c:pt>
                <c:pt idx="2">
                  <c:v>2</c:v>
                </c:pt>
                <c:pt idx="3">
                  <c:v>3</c:v>
                </c:pt>
                <c:pt idx="4">
                  <c:v>4</c:v>
                </c:pt>
                <c:pt idx="5">
                  <c:v>5</c:v>
                </c:pt>
                <c:pt idx="6">
                  <c:v>6</c:v>
                </c:pt>
                <c:pt idx="7">
                  <c:v>7</c:v>
                </c:pt>
                <c:pt idx="8">
                  <c:v>8</c:v>
                </c:pt>
                <c:pt idx="9">
                  <c:v>9</c:v>
                </c:pt>
                <c:pt idx="10">
                  <c:v>10</c:v>
                </c:pt>
                <c:pt idx="11">
                  <c:v>11</c:v>
                </c:pt>
                <c:pt idx="12">
                  <c:v>12</c:v>
                </c:pt>
                <c:pt idx="13">
                  <c:v>13</c:v>
                </c:pt>
                <c:pt idx="14">
                  <c:v>14</c:v>
                </c:pt>
                <c:pt idx="15">
                  <c:v>15</c:v>
                </c:pt>
                <c:pt idx="16">
                  <c:v>16</c:v>
                </c:pt>
                <c:pt idx="17">
                  <c:v>17</c:v>
                </c:pt>
                <c:pt idx="18">
                  <c:v>18</c:v>
                </c:pt>
                <c:pt idx="19">
                  <c:v>19</c:v>
                </c:pt>
                <c:pt idx="20">
                  <c:v>20</c:v>
                </c:pt>
                <c:pt idx="21">
                  <c:v>21</c:v>
                </c:pt>
                <c:pt idx="22">
                  <c:v>22</c:v>
                </c:pt>
                <c:pt idx="23">
                  <c:v>23</c:v>
                </c:pt>
                <c:pt idx="24">
                  <c:v>24</c:v>
                </c:pt>
                <c:pt idx="25">
                  <c:v>25</c:v>
                </c:pt>
                <c:pt idx="26">
                  <c:v>26</c:v>
                </c:pt>
                <c:pt idx="27">
                  <c:v>27</c:v>
                </c:pt>
                <c:pt idx="28">
                  <c:v>28</c:v>
                </c:pt>
                <c:pt idx="29">
                  <c:v>29</c:v>
                </c:pt>
                <c:pt idx="30">
                  <c:v>30</c:v>
                </c:pt>
              </c:numCache>
            </c:numRef>
          </c:cat>
          <c:val>
            <c:numRef>
              <c:f>Tabelle1!$B$2:$B$32</c:f>
              <c:numCache>
                <c:formatCode>General</c:formatCode>
                <c:ptCount val="31"/>
                <c:pt idx="0">
                  <c:v>0</c:v>
                </c:pt>
                <c:pt idx="1">
                  <c:v>2</c:v>
                </c:pt>
                <c:pt idx="2">
                  <c:v>1</c:v>
                </c:pt>
                <c:pt idx="3">
                  <c:v>3</c:v>
                </c:pt>
                <c:pt idx="4">
                  <c:v>4</c:v>
                </c:pt>
                <c:pt idx="5">
                  <c:v>5</c:v>
                </c:pt>
                <c:pt idx="6">
                  <c:v>7</c:v>
                </c:pt>
                <c:pt idx="7">
                  <c:v>3</c:v>
                </c:pt>
                <c:pt idx="8">
                  <c:v>5</c:v>
                </c:pt>
                <c:pt idx="9">
                  <c:v>4</c:v>
                </c:pt>
                <c:pt idx="10">
                  <c:v>8</c:v>
                </c:pt>
                <c:pt idx="11">
                  <c:v>10</c:v>
                </c:pt>
                <c:pt idx="12">
                  <c:v>11</c:v>
                </c:pt>
                <c:pt idx="13">
                  <c:v>13</c:v>
                </c:pt>
                <c:pt idx="14">
                  <c:v>16</c:v>
                </c:pt>
                <c:pt idx="15">
                  <c:v>15</c:v>
                </c:pt>
                <c:pt idx="16">
                  <c:v>12</c:v>
                </c:pt>
                <c:pt idx="17">
                  <c:v>18</c:v>
                </c:pt>
                <c:pt idx="18">
                  <c:v>19</c:v>
                </c:pt>
                <c:pt idx="19">
                  <c:v>21</c:v>
                </c:pt>
                <c:pt idx="20">
                  <c:v>8</c:v>
                </c:pt>
                <c:pt idx="21">
                  <c:v>12</c:v>
                </c:pt>
                <c:pt idx="22">
                  <c:v>11</c:v>
                </c:pt>
                <c:pt idx="23">
                  <c:v>9</c:v>
                </c:pt>
                <c:pt idx="24">
                  <c:v>13</c:v>
                </c:pt>
                <c:pt idx="25">
                  <c:v>19</c:v>
                </c:pt>
                <c:pt idx="26">
                  <c:v>26</c:v>
                </c:pt>
                <c:pt idx="27">
                  <c:v>31</c:v>
                </c:pt>
                <c:pt idx="28">
                  <c:v>32</c:v>
                </c:pt>
                <c:pt idx="29">
                  <c:v>39</c:v>
                </c:pt>
                <c:pt idx="30">
                  <c:v>45</c:v>
                </c:pt>
              </c:numCache>
            </c:numRef>
          </c:val>
          <c:smooth val="0"/>
        </c:ser>
        <c:ser>
          <c:idx val="1"/>
          <c:order val="1"/>
          <c:tx>
            <c:strRef>
              <c:f>Tabelle1!$C$1</c:f>
              <c:strCache>
                <c:ptCount val="1"/>
                <c:pt idx="0">
                  <c:v>Data B</c:v>
                </c:pt>
              </c:strCache>
            </c:strRef>
          </c:tx>
          <c:spPr>
            <a:ln w="12700"/>
          </c:spPr>
          <c:marker>
            <c:symbol val="none"/>
          </c:marker>
          <c:cat>
            <c:numRef>
              <c:f>Tabelle1!$A$2:$A$32</c:f>
              <c:numCache>
                <c:formatCode>General</c:formatCode>
                <c:ptCount val="31"/>
                <c:pt idx="0">
                  <c:v>0</c:v>
                </c:pt>
                <c:pt idx="1">
                  <c:v>1</c:v>
                </c:pt>
                <c:pt idx="2">
                  <c:v>2</c:v>
                </c:pt>
                <c:pt idx="3">
                  <c:v>3</c:v>
                </c:pt>
                <c:pt idx="4">
                  <c:v>4</c:v>
                </c:pt>
                <c:pt idx="5">
                  <c:v>5</c:v>
                </c:pt>
                <c:pt idx="6">
                  <c:v>6</c:v>
                </c:pt>
                <c:pt idx="7">
                  <c:v>7</c:v>
                </c:pt>
                <c:pt idx="8">
                  <c:v>8</c:v>
                </c:pt>
                <c:pt idx="9">
                  <c:v>9</c:v>
                </c:pt>
                <c:pt idx="10">
                  <c:v>10</c:v>
                </c:pt>
                <c:pt idx="11">
                  <c:v>11</c:v>
                </c:pt>
                <c:pt idx="12">
                  <c:v>12</c:v>
                </c:pt>
                <c:pt idx="13">
                  <c:v>13</c:v>
                </c:pt>
                <c:pt idx="14">
                  <c:v>14</c:v>
                </c:pt>
                <c:pt idx="15">
                  <c:v>15</c:v>
                </c:pt>
                <c:pt idx="16">
                  <c:v>16</c:v>
                </c:pt>
                <c:pt idx="17">
                  <c:v>17</c:v>
                </c:pt>
                <c:pt idx="18">
                  <c:v>18</c:v>
                </c:pt>
                <c:pt idx="19">
                  <c:v>19</c:v>
                </c:pt>
                <c:pt idx="20">
                  <c:v>20</c:v>
                </c:pt>
                <c:pt idx="21">
                  <c:v>21</c:v>
                </c:pt>
                <c:pt idx="22">
                  <c:v>22</c:v>
                </c:pt>
                <c:pt idx="23">
                  <c:v>23</c:v>
                </c:pt>
                <c:pt idx="24">
                  <c:v>24</c:v>
                </c:pt>
                <c:pt idx="25">
                  <c:v>25</c:v>
                </c:pt>
                <c:pt idx="26">
                  <c:v>26</c:v>
                </c:pt>
                <c:pt idx="27">
                  <c:v>27</c:v>
                </c:pt>
                <c:pt idx="28">
                  <c:v>28</c:v>
                </c:pt>
                <c:pt idx="29">
                  <c:v>29</c:v>
                </c:pt>
                <c:pt idx="30">
                  <c:v>30</c:v>
                </c:pt>
              </c:numCache>
            </c:numRef>
          </c:cat>
          <c:val>
            <c:numRef>
              <c:f>Tabelle1!$C$2:$C$32</c:f>
              <c:numCache>
                <c:formatCode>General</c:formatCode>
                <c:ptCount val="31"/>
                <c:pt idx="0">
                  <c:v>16</c:v>
                </c:pt>
                <c:pt idx="1">
                  <c:v>13</c:v>
                </c:pt>
                <c:pt idx="2">
                  <c:v>14</c:v>
                </c:pt>
                <c:pt idx="3">
                  <c:v>15</c:v>
                </c:pt>
                <c:pt idx="4">
                  <c:v>17</c:v>
                </c:pt>
                <c:pt idx="5">
                  <c:v>16.5</c:v>
                </c:pt>
                <c:pt idx="6">
                  <c:v>18</c:v>
                </c:pt>
                <c:pt idx="7">
                  <c:v>19.3</c:v>
                </c:pt>
                <c:pt idx="8">
                  <c:v>12.4</c:v>
                </c:pt>
                <c:pt idx="9">
                  <c:v>14.6</c:v>
                </c:pt>
                <c:pt idx="10">
                  <c:v>16.5</c:v>
                </c:pt>
                <c:pt idx="11">
                  <c:v>15.3</c:v>
                </c:pt>
                <c:pt idx="12">
                  <c:v>14</c:v>
                </c:pt>
                <c:pt idx="13">
                  <c:v>14.7</c:v>
                </c:pt>
                <c:pt idx="14">
                  <c:v>13.9</c:v>
                </c:pt>
                <c:pt idx="15">
                  <c:v>12.2</c:v>
                </c:pt>
                <c:pt idx="16">
                  <c:v>16.8</c:v>
                </c:pt>
                <c:pt idx="17">
                  <c:v>17.100000000000001</c:v>
                </c:pt>
                <c:pt idx="18">
                  <c:v>19.2</c:v>
                </c:pt>
                <c:pt idx="19">
                  <c:v>18.25</c:v>
                </c:pt>
                <c:pt idx="20">
                  <c:v>22</c:v>
                </c:pt>
                <c:pt idx="21" formatCode="#.##000_ ;\-#.##000\ ">
                  <c:v>24</c:v>
                </c:pt>
                <c:pt idx="22" formatCode="#.##000_ ;\-#.##000\ ">
                  <c:v>25</c:v>
                </c:pt>
                <c:pt idx="23" formatCode="#.##000_ ;\-#.##000\ ">
                  <c:v>23.5</c:v>
                </c:pt>
                <c:pt idx="24" formatCode="#.##000_ ;\-#.##000\ ">
                  <c:v>21</c:v>
                </c:pt>
                <c:pt idx="25" formatCode="#.##000_ ;\-#.##000\ ">
                  <c:v>16.899999999999999</c:v>
                </c:pt>
                <c:pt idx="26" formatCode="#.##000_ ;\-#.##000\ ">
                  <c:v>17.5</c:v>
                </c:pt>
                <c:pt idx="27" formatCode="#.##000_ ;\-#.##000\ ">
                  <c:v>18.2</c:v>
                </c:pt>
                <c:pt idx="28" formatCode="#.##000_ ;\-#.##000\ ">
                  <c:v>19.100000000000001</c:v>
                </c:pt>
                <c:pt idx="29" formatCode="#.##000_ ;\-#.##000\ ">
                  <c:v>14.8</c:v>
                </c:pt>
                <c:pt idx="30" formatCode="#.##000_ ;\-#.##000\ ">
                  <c:v>15.2</c:v>
                </c:pt>
              </c:numCache>
            </c:numRef>
          </c:val>
          <c:smooth val="0"/>
        </c:ser>
        <c:dLbls>
          <c:showLegendKey val="0"/>
          <c:showVal val="0"/>
          <c:showCatName val="0"/>
          <c:showSerName val="0"/>
          <c:showPercent val="0"/>
          <c:showBubbleSize val="0"/>
        </c:dLbls>
        <c:smooth val="0"/>
        <c:axId val="294855448"/>
        <c:axId val="294848784"/>
      </c:lineChart>
      <c:catAx>
        <c:axId val="294855448"/>
        <c:scaling>
          <c:orientation val="minMax"/>
        </c:scaling>
        <c:delete val="0"/>
        <c:axPos val="b"/>
        <c:numFmt formatCode="General" sourceLinked="1"/>
        <c:majorTickMark val="out"/>
        <c:minorTickMark val="none"/>
        <c:tickLblPos val="nextTo"/>
        <c:crossAx val="294848784"/>
        <c:crosses val="autoZero"/>
        <c:auto val="1"/>
        <c:lblAlgn val="ctr"/>
        <c:lblOffset val="100"/>
        <c:tickLblSkip val="5"/>
        <c:noMultiLvlLbl val="0"/>
      </c:catAx>
      <c:valAx>
        <c:axId val="294848784"/>
        <c:scaling>
          <c:orientation val="minMax"/>
        </c:scaling>
        <c:delete val="0"/>
        <c:axPos val="l"/>
        <c:majorGridlines>
          <c:spPr>
            <a:ln>
              <a:noFill/>
            </a:ln>
          </c:spPr>
        </c:majorGridlines>
        <c:numFmt formatCode="General" sourceLinked="1"/>
        <c:majorTickMark val="out"/>
        <c:minorTickMark val="none"/>
        <c:tickLblPos val="nextTo"/>
        <c:crossAx val="294855448"/>
        <c:crossesAt val="1"/>
        <c:crossBetween val="midCat"/>
      </c:valAx>
    </c:plotArea>
    <c:legend>
      <c:legendPos val="r"/>
      <c:layout>
        <c:manualLayout>
          <c:xMode val="edge"/>
          <c:yMode val="edge"/>
          <c:x val="0.13960322214804829"/>
          <c:y val="0.16628280839895013"/>
          <c:w val="0.1903015956378338"/>
          <c:h val="0.16743438320209975"/>
        </c:manualLayout>
      </c:layout>
      <c:overlay val="0"/>
    </c:legend>
    <c:plotVisOnly val="1"/>
    <c:dispBlanksAs val="gap"/>
    <c:showDLblsOverMax val="0"/>
  </c:chart>
  <c:spPr>
    <a:ln>
      <a:noFill/>
    </a:ln>
  </c:spPr>
  <c:txPr>
    <a:bodyPr/>
    <a:lstStyle/>
    <a:p>
      <a:pPr>
        <a:defRPr sz="800"/>
      </a:pPr>
      <a:endParaRPr lang="en-US"/>
    </a:p>
  </c:txPr>
  <c:externalData r:id="rId1">
    <c:autoUpdate val="0"/>
  </c:externalData>
</c:chartSpace>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docProps/app.xml><?xml version="1.0" encoding="utf-8"?>
<Properties xmlns="http://schemas.openxmlformats.org/officeDocument/2006/extended-properties" xmlns:vt="http://schemas.openxmlformats.org/officeDocument/2006/docPropsVTypes">
  <Template>Normal</Template>
  <TotalTime>95</TotalTime>
  <Pages>5</Pages>
  <Words>1541</Words>
  <Characters>8788</Characters>
  <Application>Microsoft Office Word</Application>
  <DocSecurity>0</DocSecurity>
  <Lines>73</Lines>
  <Paragraphs>20</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10309</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Admin</cp:lastModifiedBy>
  <cp:revision>5</cp:revision>
  <dcterms:created xsi:type="dcterms:W3CDTF">2017-02-26T12:30:00Z</dcterms:created>
  <dcterms:modified xsi:type="dcterms:W3CDTF">2022-06-28T09:53:00Z</dcterms:modified>
</cp:coreProperties>
</file>