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680" w:lineRule="exact" w:before="0" w:after="0"/>
        <w:ind w:left="10" w:right="5760" w:firstLine="0"/>
        <w:jc w:val="left"/>
      </w:pPr>
      <w:r>
        <w:rPr>
          <w:rFonts w:ascii="Helvetica" w:hAnsi="Helvetica" w:eastAsia="Helvetica"/>
          <w:b w:val="0"/>
          <w:i w:val="0"/>
          <w:color w:val="000080"/>
          <w:sz w:val="48"/>
        </w:rPr>
        <w:t xml:space="preserve">Monthly Sales Report </w:t>
      </w:r>
      <w:r>
        <w:br/>
      </w:r>
      <w:r>
        <w:rPr>
          <w:rFonts w:ascii="Helvetica" w:hAnsi="Helvetica" w:eastAsia="Helvetica"/>
          <w:b w:val="0"/>
          <w:i w:val="0"/>
          <w:color w:val="4D4D4D"/>
          <w:sz w:val="28"/>
        </w:rPr>
        <w:t>Q4 2025 - Company Overview</w:t>
      </w:r>
    </w:p>
    <w:p>
      <w:pPr>
        <w:autoSpaceDN w:val="0"/>
        <w:autoSpaceDE w:val="0"/>
        <w:widowControl/>
        <w:spacing w:line="400" w:lineRule="exact" w:before="382" w:after="724"/>
        <w:ind w:left="10" w:right="20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report contains quarterly sales data broken down by region and product category.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All figures are in USD unless otherwise noted.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50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Region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Q1 Sales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Q2 Sales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Q3 Sales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Q4 Sales</w:t>
            </w:r>
          </w:p>
        </w:tc>
      </w:tr>
      <w:tr>
        <w:trPr>
          <w:trHeight w:hRule="exact" w:val="50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North America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125,000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138,500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142,000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165,200</w:t>
            </w:r>
          </w:p>
        </w:tc>
      </w:tr>
      <w:tr>
        <w:trPr>
          <w:trHeight w:hRule="exact" w:val="50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Europe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98,000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105,200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112,800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128,400</w:t>
            </w:r>
          </w:p>
        </w:tc>
      </w:tr>
      <w:tr>
        <w:trPr>
          <w:trHeight w:hRule="exact" w:val="50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Asia Pacific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87,500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92,100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98,750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115,600</w:t>
            </w:r>
          </w:p>
        </w:tc>
      </w:tr>
      <w:tr>
        <w:trPr>
          <w:trHeight w:hRule="exact" w:val="50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Latin America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45,200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48,900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52,100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58,300</w:t>
            </w:r>
          </w:p>
        </w:tc>
      </w:tr>
      <w:tr>
        <w:trPr>
          <w:trHeight w:hRule="exact" w:val="500"/>
        </w:trPr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Total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355,700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384,700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405,650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467,500</w:t>
            </w:r>
          </w:p>
        </w:tc>
      </w:tr>
    </w:tbl>
    <w:p>
      <w:pPr>
        <w:autoSpaceDN w:val="0"/>
        <w:autoSpaceDE w:val="0"/>
        <w:widowControl/>
        <w:spacing w:line="248" w:lineRule="exact" w:before="696" w:after="0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808080"/>
          <w:sz w:val="18"/>
        </w:rPr>
        <w:t>Notes: All sales figures are preliminary and subject to audit.</w:t>
      </w:r>
    </w:p>
    <w:p>
      <w:pPr>
        <w:sectPr>
          <w:pgSz w:w="12240" w:h="15840"/>
          <w:pgMar w:top="462" w:right="370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642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004D00"/>
          <w:sz w:val="36"/>
        </w:rPr>
        <w:t>Product Category Breakdown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60"/>
        <w:gridCol w:w="2360"/>
        <w:gridCol w:w="2360"/>
        <w:gridCol w:w="2360"/>
      </w:tblGrid>
      <w:tr>
        <w:trPr>
          <w:trHeight w:hRule="exact" w:val="50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Product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Units Sold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Revenue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Growth %</w:t>
            </w:r>
          </w:p>
        </w:tc>
      </w:tr>
      <w:tr>
        <w:trPr>
          <w:trHeight w:hRule="exact" w:val="50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Software License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2,450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245,000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+12.5%</w:t>
            </w:r>
          </w:p>
        </w:tc>
      </w:tr>
      <w:tr>
        <w:trPr>
          <w:trHeight w:hRule="exact" w:val="50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Cloud Services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1,800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180,000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+28.3%</w:t>
            </w:r>
          </w:p>
        </w:tc>
      </w:tr>
      <w:tr>
        <w:trPr>
          <w:trHeight w:hRule="exact" w:val="50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Hardware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890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89,000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-5.2%</w:t>
            </w:r>
          </w:p>
        </w:tc>
      </w:tr>
      <w:tr>
        <w:trPr>
          <w:trHeight w:hRule="exact" w:val="480"/>
        </w:trPr>
        <w:tc>
          <w:tcPr>
            <w:tcW w:type="dxa" w:w="3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Consulting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320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96,000</w:t>
            </w:r>
          </w:p>
        </w:tc>
        <w:tc>
          <w:tcPr>
            <w:tcW w:type="dxa" w:w="2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+8.7%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528" w:right="1370" w:bottom="1440" w:left="14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