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4A56"/>
          <w:sz w:val="48"/>
        </w:rPr>
        <w:t>Freight Rate Prediction</w:t>
      </w:r>
    </w:p>
    <w:p>
      <w:r>
        <w:rPr>
          <w:color w:val="455A60"/>
          <w:sz w:val="22"/>
        </w:rPr>
        <w:t>Validation approach, data split and December forecast  |  Machine Learning Engineer assessment</w:t>
      </w:r>
    </w:p>
    <w:p>
      <w:pPr>
        <w:pStyle w:val="Heading1"/>
      </w:pPr>
      <w:r>
        <w:rPr>
          <w:rFonts w:ascii="Calibri" w:hAnsi="Calibri"/>
          <w:color w:val="064A56"/>
        </w:rPr>
        <w:t>1. Summary</w:t>
      </w:r>
    </w:p>
    <w:p>
      <w:pPr>
        <w:spacing w:after="120"/>
      </w:pPr>
      <w:r>
        <w:rPr>
          <w:i w:val="0"/>
        </w:rPr>
        <w:t>The model predicts the posted rate of a load from its lane, equipment, weight, market signals and the calendar. It is a log-linear structural model with a linear time trend and a quarter-end ramp, plus gradient boosting on its residuals. Because the 12,000 loads to predict are all in Nov-Dec 2025 (after every labeled load), it was validated by training on the past and testing on the following two months, never with a random split.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5184"/>
            <w:shd w:val="clear" w:color="auto" w:fill="064A56"/>
          </w:tcPr>
          <w:p>
            <w:pPr>
              <w:spacing w:after="0"/>
            </w:pPr>
            <w:r/>
            <w:r>
              <w:rPr>
                <w:b/>
                <w:color w:val="FFFFFF"/>
                <w:sz w:val="18"/>
              </w:rPr>
              <w:t>Result (forward-chaining, mean of 3 two-month folds)</w:t>
            </w:r>
          </w:p>
        </w:tc>
        <w:tc>
          <w:tcPr>
            <w:tcW w:type="dxa" w:w="2736"/>
            <w:shd w:val="clear" w:color="auto" w:fill="064A56"/>
          </w:tcPr>
          <w:p>
            <w:pPr>
              <w:spacing w:after="0"/>
              <w:jc w:val="right"/>
            </w:pPr>
            <w:r/>
            <w:r>
              <w:rPr>
                <w:b/>
                <w:color w:val="FFFFFF"/>
                <w:sz w:val="18"/>
              </w:rPr>
              <w:t>Final model</w:t>
            </w:r>
          </w:p>
        </w:tc>
        <w:tc>
          <w:tcPr>
            <w:tcW w:type="dxa" w:w="1728"/>
            <w:shd w:val="clear" w:color="auto" w:fill="064A56"/>
          </w:tcPr>
          <w:p>
            <w:pPr>
              <w:spacing w:after="0"/>
              <w:jc w:val="right"/>
            </w:pPr>
            <w:r/>
            <w:r>
              <w:rPr>
                <w:b/>
                <w:color w:val="FFFFFF"/>
                <w:sz w:val="18"/>
              </w:rPr>
              <w:t>Naive baseline</w:t>
            </w:r>
          </w:p>
        </w:tc>
      </w:tr>
      <w:tr>
        <w:tc>
          <w:tcPr>
            <w:tcW w:type="dxa" w:w="5184"/>
          </w:tcPr>
          <w:p>
            <w:pPr>
              <w:spacing w:after="0"/>
            </w:pPr>
            <w:r/>
            <w:r>
              <w:rPr>
                <w:b w:val="0"/>
                <w:sz w:val="18"/>
              </w:rPr>
              <w:t>Mean absolute error, clean labels</w:t>
            </w:r>
          </w:p>
        </w:tc>
        <w:tc>
          <w:tcPr>
            <w:tcW w:type="dxa" w:w="2736"/>
          </w:tcPr>
          <w:p>
            <w:pPr>
              <w:spacing w:after="0"/>
              <w:jc w:val="right"/>
            </w:pPr>
            <w:r/>
            <w:r>
              <w:rPr>
                <w:b w:val="0"/>
                <w:sz w:val="18"/>
              </w:rPr>
              <w:t>$38 per load</w:t>
            </w:r>
          </w:p>
        </w:tc>
        <w:tc>
          <w:tcPr>
            <w:tcW w:type="dxa" w:w="1728"/>
          </w:tcPr>
          <w:p>
            <w:pPr>
              <w:spacing w:after="0"/>
              <w:jc w:val="right"/>
            </w:pPr>
            <w:r/>
            <w:r>
              <w:rPr>
                <w:b w:val="0"/>
                <w:sz w:val="18"/>
              </w:rPr>
              <w:t>$105</w:t>
            </w:r>
          </w:p>
        </w:tc>
      </w:tr>
      <w:tr>
        <w:tc>
          <w:tcPr>
            <w:tcW w:type="dxa" w:w="5184"/>
            <w:shd w:val="clear" w:color="auto" w:fill="F5F8F8"/>
          </w:tcPr>
          <w:p>
            <w:pPr>
              <w:spacing w:after="0"/>
            </w:pPr>
            <w:r/>
            <w:r>
              <w:rPr>
                <w:b w:val="0"/>
                <w:sz w:val="18"/>
              </w:rPr>
              <w:t>Mean absolute % error, clean labels</w:t>
            </w:r>
          </w:p>
        </w:tc>
        <w:tc>
          <w:tcPr>
            <w:tcW w:type="dxa" w:w="2736"/>
            <w:shd w:val="clear" w:color="auto" w:fill="F5F8F8"/>
          </w:tcPr>
          <w:p>
            <w:pPr>
              <w:spacing w:after="0"/>
              <w:jc w:val="right"/>
            </w:pPr>
            <w:r/>
            <w:r>
              <w:rPr>
                <w:b w:val="0"/>
                <w:sz w:val="18"/>
              </w:rPr>
              <w:t>1.56%</w:t>
            </w:r>
          </w:p>
        </w:tc>
        <w:tc>
          <w:tcPr>
            <w:tcW w:type="dxa" w:w="1728"/>
            <w:shd w:val="clear" w:color="auto" w:fill="F5F8F8"/>
          </w:tcPr>
          <w:p>
            <w:pPr>
              <w:spacing w:after="0"/>
              <w:jc w:val="right"/>
            </w:pPr>
            <w:r/>
            <w:r>
              <w:rPr>
                <w:b w:val="0"/>
                <w:sz w:val="18"/>
              </w:rPr>
              <w:t>4.40%</w:t>
            </w:r>
          </w:p>
        </w:tc>
      </w:tr>
      <w:tr>
        <w:tc>
          <w:tcPr>
            <w:tcW w:type="dxa" w:w="5184"/>
          </w:tcPr>
          <w:p>
            <w:pPr>
              <w:spacing w:after="0"/>
            </w:pPr>
            <w:r/>
            <w:r>
              <w:rPr>
                <w:b w:val="0"/>
                <w:sz w:val="18"/>
              </w:rPr>
              <w:t>R-squared, clean labels</w:t>
            </w:r>
          </w:p>
        </w:tc>
        <w:tc>
          <w:tcPr>
            <w:tcW w:type="dxa" w:w="2736"/>
          </w:tcPr>
          <w:p>
            <w:pPr>
              <w:spacing w:after="0"/>
              <w:jc w:val="right"/>
            </w:pPr>
            <w:r/>
            <w:r>
              <w:rPr>
                <w:b w:val="0"/>
                <w:sz w:val="18"/>
              </w:rPr>
              <w:t>0.9981</w:t>
            </w:r>
          </w:p>
        </w:tc>
        <w:tc>
          <w:tcPr>
            <w:tcW w:type="dxa" w:w="1728"/>
          </w:tcPr>
          <w:p>
            <w:pPr>
              <w:spacing w:after="0"/>
              <w:jc w:val="right"/>
            </w:pPr>
            <w:r/>
            <w:r>
              <w:rPr>
                <w:b w:val="0"/>
                <w:sz w:val="18"/>
              </w:rPr>
              <w:t>0.9881</w:t>
            </w:r>
          </w:p>
        </w:tc>
      </w:tr>
      <w:tr>
        <w:tc>
          <w:tcPr>
            <w:tcW w:type="dxa" w:w="5184"/>
            <w:shd w:val="clear" w:color="auto" w:fill="F5F8F8"/>
          </w:tcPr>
          <w:p>
            <w:pPr>
              <w:spacing w:after="0"/>
            </w:pPr>
            <w:r/>
            <w:r>
              <w:rPr>
                <w:b w:val="0"/>
                <w:sz w:val="18"/>
              </w:rPr>
              <w:t>Same, labels as delivered (incl. corrupted ones)</w:t>
            </w:r>
          </w:p>
        </w:tc>
        <w:tc>
          <w:tcPr>
            <w:tcW w:type="dxa" w:w="2736"/>
            <w:shd w:val="clear" w:color="auto" w:fill="F5F8F8"/>
          </w:tcPr>
          <w:p>
            <w:pPr>
              <w:spacing w:after="0"/>
              <w:jc w:val="right"/>
            </w:pPr>
            <w:r/>
            <w:r>
              <w:rPr>
                <w:b w:val="0"/>
                <w:sz w:val="18"/>
              </w:rPr>
              <w:t>$92 MAE / 3.94% MAPE</w:t>
            </w:r>
          </w:p>
        </w:tc>
        <w:tc>
          <w:tcPr>
            <w:tcW w:type="dxa" w:w="1728"/>
            <w:shd w:val="clear" w:color="auto" w:fill="F5F8F8"/>
          </w:tcPr>
          <w:p>
            <w:pPr>
              <w:spacing w:after="0"/>
              <w:jc w:val="right"/>
            </w:pPr>
            <w:r/>
            <w:r>
              <w:rPr>
                <w:b w:val="0"/>
                <w:sz w:val="18"/>
              </w:rPr>
              <w:t>$158 MAE</w:t>
            </w:r>
          </w:p>
        </w:tc>
      </w:tr>
      <w:tr>
        <w:tc>
          <w:tcPr>
            <w:tcW w:type="dxa" w:w="5184"/>
          </w:tcPr>
          <w:p>
            <w:pPr>
              <w:spacing w:after="0"/>
            </w:pPr>
            <w:r/>
            <w:r>
              <w:rPr>
                <w:b w:val="0"/>
                <w:sz w:val="18"/>
              </w:rPr>
              <w:t>Loads touching cities hidden from training (Sep-Oct)</w:t>
            </w:r>
          </w:p>
        </w:tc>
        <w:tc>
          <w:tcPr>
            <w:tcW w:type="dxa" w:w="2736"/>
          </w:tcPr>
          <w:p>
            <w:pPr>
              <w:spacing w:after="0"/>
              <w:jc w:val="right"/>
            </w:pPr>
            <w:r/>
            <w:r>
              <w:rPr>
                <w:b w:val="0"/>
                <w:sz w:val="18"/>
              </w:rPr>
              <w:t>$33 MAE / 1.38% MAPE</w:t>
            </w:r>
          </w:p>
        </w:tc>
        <w:tc>
          <w:tcPr>
            <w:tcW w:type="dxa" w:w="1728"/>
          </w:tcPr>
          <w:p>
            <w:pPr>
              <w:spacing w:after="0"/>
              <w:jc w:val="right"/>
            </w:pPr>
            <w:r/>
            <w:r>
              <w:rPr>
                <w:b w:val="0"/>
                <w:sz w:val="18"/>
              </w:rPr>
              <w:t>$83 MAE</w:t>
            </w:r>
          </w:p>
        </w:tc>
      </w:tr>
    </w:tbl>
    <w:p>
      <w:pPr>
        <w:spacing w:after="40"/>
      </w:pPr>
    </w:p>
    <w:p>
      <w:pPr>
        <w:spacing w:after="120"/>
      </w:pPr>
      <w:r>
        <w:rPr>
          <w:i w:val="0"/>
        </w:rPr>
        <w:t>Three findings shaped the solution:</w:t>
      </w:r>
    </w:p>
    <w:p>
      <w:pPr>
        <w:pStyle w:val="ListBullet"/>
        <w:spacing w:after="40"/>
      </w:pPr>
      <w:r>
        <w:rPr>
          <w:b/>
        </w:rPr>
        <w:t>Corrupted labels.</w:t>
      </w:r>
      <w:r>
        <w:t xml:space="preserve"> 677 training labels (1.41%) are corrupted - roughly 0.2-0.45x or 2.2-5.4x the value their features imply. They are removed from training and reported separately in evaluation.</w:t>
      </w:r>
    </w:p>
    <w:p>
      <w:pPr>
        <w:pStyle w:val="ListBullet"/>
        <w:spacing w:after="40"/>
      </w:pPr>
      <w:r>
        <w:rPr>
          <w:b/>
        </w:rPr>
        <w:t>Unseen cities.</w:t>
      </w:r>
      <w:r>
        <w:t xml:space="preserve"> 8 cities appear only in the validation file (1,447 of 12,000 loads), so no feature identifies a city; geography enters through coordinates.</w:t>
      </w:r>
    </w:p>
    <w:p>
      <w:pPr>
        <w:pStyle w:val="ListBullet"/>
        <w:spacing w:after="40"/>
      </w:pPr>
      <w:r>
        <w:rPr>
          <w:b/>
        </w:rPr>
        <w:t>Calendar structure.</w:t>
      </w:r>
      <w:r>
        <w:t xml:space="preserve"> After accounting for a load's own features, the daily rate follows a linear upward trend plus a ramp over the last four weeks of every quarter that resets on the first day of the next. Adding both terms cut forward-chaining error by about a quarter and unseen-city error by about half.</w:t>
      </w:r>
    </w:p>
    <w:p>
      <w:pPr>
        <w:pStyle w:val="Heading1"/>
      </w:pPr>
      <w:r>
        <w:rPr>
          <w:rFonts w:ascii="Calibri" w:hAnsi="Calibri"/>
          <w:color w:val="064A56"/>
        </w:rPr>
        <w:t>2. Data-quality issues and how they were handled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shd w:val="clear" w:color="auto" w:fill="064A56"/>
          </w:tcPr>
          <w:p>
            <w:pPr>
              <w:spacing w:after="0"/>
            </w:pPr>
            <w:r/>
            <w:r>
              <w:rPr>
                <w:b/>
                <w:color w:val="FFFFFF"/>
                <w:sz w:val="18"/>
              </w:rPr>
              <w:t>Issue found</w:t>
            </w:r>
          </w:p>
        </w:tc>
        <w:tc>
          <w:tcPr>
            <w:tcW w:type="dxa" w:w="4608"/>
            <w:shd w:val="clear" w:color="auto" w:fill="064A56"/>
          </w:tcPr>
          <w:p>
            <w:pPr>
              <w:spacing w:after="0"/>
            </w:pPr>
            <w:r/>
            <w:r>
              <w:rPr>
                <w:b/>
                <w:color w:val="FFFFFF"/>
                <w:sz w:val="18"/>
              </w:rPr>
              <w:t>Evidence</w:t>
            </w:r>
          </w:p>
        </w:tc>
        <w:tc>
          <w:tcPr>
            <w:tcW w:type="dxa" w:w="2808"/>
            <w:shd w:val="clear" w:color="auto" w:fill="064A56"/>
          </w:tcPr>
          <w:p>
            <w:pPr>
              <w:spacing w:after="0"/>
            </w:pPr>
            <w:r/>
            <w:r>
              <w:rPr>
                <w:b/>
                <w:color w:val="FFFFFF"/>
                <w:sz w:val="18"/>
              </w:rPr>
              <w:t>Handling</w:t>
            </w:r>
          </w:p>
        </w:tc>
      </w:tr>
      <w:tr>
        <w:tc>
          <w:tcPr>
            <w:tcW w:type="dxa" w:w="2232"/>
          </w:tcPr>
          <w:p>
            <w:pPr>
              <w:spacing w:after="0"/>
            </w:pPr>
            <w:r/>
            <w:r>
              <w:rPr>
                <w:b w:val="0"/>
                <w:sz w:val="18"/>
              </w:rPr>
              <w:t>Sign-flipped weights</w:t>
            </w:r>
          </w:p>
        </w:tc>
        <w:tc>
          <w:tcPr>
            <w:tcW w:type="dxa" w:w="4608"/>
          </w:tcPr>
          <w:p>
            <w:pPr>
              <w:spacing w:after="0"/>
            </w:pPr>
            <w:r/>
            <w:r>
              <w:rPr>
                <w:b w:val="0"/>
                <w:sz w:val="18"/>
              </w:rPr>
              <w:t>292 negative in train, 145 in validation; absolute values span 5,000-47,500 lb</w:t>
            </w:r>
          </w:p>
        </w:tc>
        <w:tc>
          <w:tcPr>
            <w:tcW w:type="dxa" w:w="2808"/>
          </w:tcPr>
          <w:p>
            <w:pPr>
              <w:spacing w:after="0"/>
            </w:pPr>
            <w:r/>
            <w:r>
              <w:rPr>
                <w:b w:val="0"/>
                <w:sz w:val="18"/>
              </w:rPr>
              <w:t>Use the absolute value</w:t>
            </w:r>
          </w:p>
        </w:tc>
      </w:tr>
      <w:tr>
        <w:tc>
          <w:tcPr>
            <w:tcW w:type="dxa" w:w="2232"/>
            <w:shd w:val="clear" w:color="auto" w:fill="F5F8F8"/>
          </w:tcPr>
          <w:p>
            <w:pPr>
              <w:spacing w:after="0"/>
            </w:pPr>
            <w:r/>
            <w:r>
              <w:rPr>
                <w:b w:val="0"/>
                <w:sz w:val="18"/>
              </w:rPr>
              <w:t>Missing weight</w:t>
            </w:r>
          </w:p>
        </w:tc>
        <w:tc>
          <w:tcPr>
            <w:tcW w:type="dxa" w:w="4608"/>
            <w:shd w:val="clear" w:color="auto" w:fill="F5F8F8"/>
          </w:tcPr>
          <w:p>
            <w:pPr>
              <w:spacing w:after="0"/>
            </w:pPr>
            <w:r/>
            <w:r>
              <w:rPr>
                <w:b w:val="0"/>
                <w:sz w:val="18"/>
              </w:rPr>
              <w:t>300 train / 165 validation rows</w:t>
            </w:r>
          </w:p>
        </w:tc>
        <w:tc>
          <w:tcPr>
            <w:tcW w:type="dxa" w:w="2808"/>
            <w:shd w:val="clear" w:color="auto" w:fill="F5F8F8"/>
          </w:tcPr>
          <w:p>
            <w:pPr>
              <w:spacing w:after="0"/>
            </w:pPr>
            <w:r/>
            <w:r>
              <w:rPr>
                <w:b w:val="0"/>
                <w:sz w:val="18"/>
              </w:rPr>
              <w:t>Median weight of the same equipment type</w:t>
            </w:r>
          </w:p>
        </w:tc>
      </w:tr>
      <w:tr>
        <w:tc>
          <w:tcPr>
            <w:tcW w:type="dxa" w:w="2232"/>
          </w:tcPr>
          <w:p>
            <w:pPr>
              <w:spacing w:after="0"/>
            </w:pPr>
            <w:r/>
            <w:r>
              <w:rPr>
                <w:b w:val="0"/>
                <w:sz w:val="18"/>
              </w:rPr>
              <w:t>Weight capped at 47,500 lb</w:t>
            </w:r>
          </w:p>
        </w:tc>
        <w:tc>
          <w:tcPr>
            <w:tcW w:type="dxa" w:w="4608"/>
          </w:tcPr>
          <w:p>
            <w:pPr>
              <w:spacing w:after="0"/>
            </w:pPr>
            <w:r/>
            <w:r>
              <w:rPr>
                <w:b w:val="0"/>
                <w:sz w:val="18"/>
              </w:rPr>
              <w:t>1,204 train rows sit exactly at the cap</w:t>
            </w:r>
          </w:p>
        </w:tc>
        <w:tc>
          <w:tcPr>
            <w:tcW w:type="dxa" w:w="2808"/>
          </w:tcPr>
          <w:p>
            <w:pPr>
              <w:spacing w:after="0"/>
            </w:pPr>
            <w:r/>
            <w:r>
              <w:rPr>
                <w:b w:val="0"/>
                <w:sz w:val="18"/>
              </w:rPr>
              <w:t>Kept (it is a real, consistent ceiling)</w:t>
            </w:r>
          </w:p>
        </w:tc>
      </w:tr>
      <w:tr>
        <w:tc>
          <w:tcPr>
            <w:tcW w:type="dxa" w:w="2232"/>
            <w:shd w:val="clear" w:color="auto" w:fill="F5F8F8"/>
          </w:tcPr>
          <w:p>
            <w:pPr>
              <w:spacing w:after="0"/>
            </w:pPr>
            <w:r/>
            <w:r>
              <w:rPr>
                <w:b w:val="0"/>
                <w:sz w:val="18"/>
              </w:rPr>
              <w:t>Missing market_index</w:t>
            </w:r>
          </w:p>
        </w:tc>
        <w:tc>
          <w:tcPr>
            <w:tcW w:type="dxa" w:w="4608"/>
            <w:shd w:val="clear" w:color="auto" w:fill="F5F8F8"/>
          </w:tcPr>
          <w:p>
            <w:pPr>
              <w:spacing w:after="0"/>
            </w:pPr>
            <w:r/>
            <w:r>
              <w:rPr>
                <w:b w:val="0"/>
                <w:sz w:val="18"/>
              </w:rPr>
              <w:t>374 train / 249 validation rows</w:t>
            </w:r>
          </w:p>
        </w:tc>
        <w:tc>
          <w:tcPr>
            <w:tcW w:type="dxa" w:w="2808"/>
            <w:shd w:val="clear" w:color="auto" w:fill="F5F8F8"/>
          </w:tcPr>
          <w:p>
            <w:pPr>
              <w:spacing w:after="0"/>
            </w:pPr>
            <w:r/>
            <w:r>
              <w:rPr>
                <w:b w:val="0"/>
                <w:sz w:val="18"/>
              </w:rPr>
              <w:t>Same-day median of other loads (it is a day-level signal plus small noise)</w:t>
            </w:r>
          </w:p>
        </w:tc>
      </w:tr>
      <w:tr>
        <w:tc>
          <w:tcPr>
            <w:tcW w:type="dxa" w:w="2232"/>
          </w:tcPr>
          <w:p>
            <w:pPr>
              <w:spacing w:after="0"/>
            </w:pPr>
            <w:r/>
            <w:r>
              <w:rPr>
                <w:b w:val="0"/>
                <w:sz w:val="18"/>
              </w:rPr>
              <w:t>Corrupted posted_rate</w:t>
            </w:r>
          </w:p>
        </w:tc>
        <w:tc>
          <w:tcPr>
            <w:tcW w:type="dxa" w:w="4608"/>
          </w:tcPr>
          <w:p>
            <w:pPr>
              <w:spacing w:after="0"/>
            </w:pPr>
            <w:r/>
            <w:r>
              <w:rPr>
                <w:b w:val="0"/>
                <w:sz w:val="18"/>
              </w:rPr>
              <w:t>677 rows (1.41%): 337 too low, 340 too high; no row between 0.18 and 0.80 log units from expected</w:t>
            </w:r>
          </w:p>
        </w:tc>
        <w:tc>
          <w:tcPr>
            <w:tcW w:type="dxa" w:w="2808"/>
          </w:tcPr>
          <w:p>
            <w:pPr>
              <w:spacing w:after="0"/>
            </w:pPr>
            <w:r/>
            <w:r>
              <w:rPr>
                <w:b w:val="0"/>
                <w:sz w:val="18"/>
              </w:rPr>
              <w:t>Removed from training only; evaluation reported on clean and raw labels</w:t>
            </w:r>
          </w:p>
        </w:tc>
      </w:tr>
      <w:tr>
        <w:tc>
          <w:tcPr>
            <w:tcW w:type="dxa" w:w="2232"/>
            <w:shd w:val="clear" w:color="auto" w:fill="F5F8F8"/>
          </w:tcPr>
          <w:p>
            <w:pPr>
              <w:spacing w:after="0"/>
            </w:pPr>
            <w:r/>
            <w:r>
              <w:rPr>
                <w:b w:val="0"/>
                <w:sz w:val="18"/>
              </w:rPr>
              <w:t>Cities only in validation</w:t>
            </w:r>
          </w:p>
        </w:tc>
        <w:tc>
          <w:tcPr>
            <w:tcW w:type="dxa" w:w="4608"/>
            <w:shd w:val="clear" w:color="auto" w:fill="F5F8F8"/>
          </w:tcPr>
          <w:p>
            <w:pPr>
              <w:spacing w:after="0"/>
            </w:pPr>
            <w:r/>
            <w:r>
              <w:rPr>
                <w:b w:val="0"/>
                <w:sz w:val="18"/>
              </w:rPr>
              <w:t>Allentown, Charlotte, Chicago, Jackson, Knoxville, Laredo, Norfolk, San Diego</w:t>
            </w:r>
          </w:p>
        </w:tc>
        <w:tc>
          <w:tcPr>
            <w:tcW w:type="dxa" w:w="2808"/>
            <w:shd w:val="clear" w:color="auto" w:fill="F5F8F8"/>
          </w:tcPr>
          <w:p>
            <w:pPr>
              <w:spacing w:after="0"/>
            </w:pPr>
            <w:r/>
            <w:r>
              <w:rPr>
                <w:b w:val="0"/>
                <w:sz w:val="18"/>
              </w:rPr>
              <w:t>No city identity features; coordinates instead</w:t>
            </w:r>
          </w:p>
        </w:tc>
      </w:tr>
      <w:tr>
        <w:tc>
          <w:tcPr>
            <w:tcW w:type="dxa" w:w="2232"/>
          </w:tcPr>
          <w:p>
            <w:pPr>
              <w:spacing w:after="0"/>
            </w:pPr>
            <w:r/>
            <w:r>
              <w:rPr>
                <w:b w:val="0"/>
                <w:sz w:val="18"/>
              </w:rPr>
              <w:t>Coordinates are synthetic</w:t>
            </w:r>
          </w:p>
        </w:tc>
        <w:tc>
          <w:tcPr>
            <w:tcW w:type="dxa" w:w="4608"/>
          </w:tcPr>
          <w:p>
            <w:pPr>
              <w:spacing w:after="0"/>
            </w:pPr>
            <w:r/>
            <w:r>
              <w:rPr>
                <w:b w:val="0"/>
                <w:sz w:val="18"/>
              </w:rPr>
              <w:t>Haversine distance disagrees with `distance` (up to 78x), but `distance` is consistent per lane</w:t>
            </w:r>
          </w:p>
        </w:tc>
        <w:tc>
          <w:tcPr>
            <w:tcW w:type="dxa" w:w="2808"/>
          </w:tcPr>
          <w:p>
            <w:pPr>
              <w:spacing w:after="0"/>
            </w:pPr>
            <w:r/>
            <w:r>
              <w:rPr>
                <w:b w:val="0"/>
                <w:sz w:val="18"/>
              </w:rPr>
              <w:t>Trusted `distance`; used coordinates only as a regional signal</w:t>
            </w:r>
          </w:p>
        </w:tc>
      </w:tr>
      <w:tr>
        <w:tc>
          <w:tcPr>
            <w:tcW w:type="dxa" w:w="2232"/>
            <w:shd w:val="clear" w:color="auto" w:fill="F5F8F8"/>
          </w:tcPr>
          <w:p>
            <w:pPr>
              <w:spacing w:after="0"/>
            </w:pPr>
            <w:r/>
            <w:r>
              <w:rPr>
                <w:b w:val="0"/>
                <w:sz w:val="18"/>
              </w:rPr>
              <w:t>Duplicates / ID problems</w:t>
            </w:r>
          </w:p>
        </w:tc>
        <w:tc>
          <w:tcPr>
            <w:tcW w:type="dxa" w:w="4608"/>
            <w:shd w:val="clear" w:color="auto" w:fill="F5F8F8"/>
          </w:tcPr>
          <w:p>
            <w:pPr>
              <w:spacing w:after="0"/>
            </w:pPr>
            <w:r/>
            <w:r>
              <w:rPr>
                <w:b w:val="0"/>
                <w:sz w:val="18"/>
              </w:rPr>
              <w:t>0 duplicate load_ids, 0 duplicate rows</w:t>
            </w:r>
          </w:p>
        </w:tc>
        <w:tc>
          <w:tcPr>
            <w:tcW w:type="dxa" w:w="2808"/>
            <w:shd w:val="clear" w:color="auto" w:fill="F5F8F8"/>
          </w:tcPr>
          <w:p>
            <w:pPr>
              <w:spacing w:after="0"/>
            </w:pPr>
            <w:r/>
            <w:r>
              <w:rPr>
                <w:b w:val="0"/>
                <w:sz w:val="18"/>
              </w:rPr>
              <w:t>None needed</w:t>
            </w:r>
          </w:p>
        </w:tc>
      </w:tr>
    </w:tbl>
    <w:p>
      <w:pPr>
        <w:spacing w:after="40"/>
      </w:pPr>
    </w:p>
    <w:p>
      <w:pPr>
        <w:jc w:val="center"/>
      </w:pPr>
      <w:r>
        <w:drawing>
          <wp:inline xmlns:a="http://schemas.openxmlformats.org/drawingml/2006/main" xmlns:pic="http://schemas.openxmlformats.org/drawingml/2006/picture">
            <wp:extent cx="5669280" cy="2650811"/>
            <wp:docPr id="1" name="Picture 1"/>
            <wp:cNvGraphicFramePr>
              <a:graphicFrameLocks noChangeAspect="1"/>
            </wp:cNvGraphicFramePr>
            <a:graphic>
              <a:graphicData uri="http://schemas.openxmlformats.org/drawingml/2006/picture">
                <pic:pic>
                  <pic:nvPicPr>
                    <pic:cNvPr id="0" name="fig_label_outliers.png"/>
                    <pic:cNvPicPr/>
                  </pic:nvPicPr>
                  <pic:blipFill>
                    <a:blip r:embed="rId9"/>
                    <a:stretch>
                      <a:fillRect/>
                    </a:stretch>
                  </pic:blipFill>
                  <pic:spPr>
                    <a:xfrm>
                      <a:off x="0" y="0"/>
                      <a:ext cx="5669280" cy="2650811"/>
                    </a:xfrm>
                    <a:prstGeom prst="rect"/>
                  </pic:spPr>
                </pic:pic>
              </a:graphicData>
            </a:graphic>
          </wp:inline>
        </w:drawing>
      </w:r>
    </w:p>
    <w:p>
      <w:pPr>
        <w:jc w:val="center"/>
      </w:pPr>
      <w:r>
        <w:rPr>
          <w:i/>
          <w:color w:val="455A60"/>
          <w:sz w:val="17"/>
        </w:rPr>
        <w:t>Figure 1. Residual of log(posted_rate) against the rate implied by the load's features. Corrupted labels form two islands far from the normal cloud.</w:t>
      </w:r>
    </w:p>
    <w:p>
      <w:pPr>
        <w:pStyle w:val="Heading1"/>
      </w:pPr>
      <w:r>
        <w:rPr>
          <w:rFonts w:ascii="Calibri" w:hAnsi="Calibri"/>
          <w:color w:val="064A56"/>
        </w:rPr>
        <w:t>3. Train / validation split approach</w:t>
      </w:r>
    </w:p>
    <w:p>
      <w:pPr>
        <w:spacing w:after="120"/>
      </w:pPr>
      <w:r>
        <w:rPr>
          <w:i w:val="0"/>
        </w:rPr>
        <w:t>Task shape. Labeled data covers 2025-01-01 to 2025-10-31; the loads to predict cover 2025-11-01 to 2025-12-31. The split must therefore be chronological. A random split would be misleading for a specific reason: the daily average rate carries a smooth market state (lag-1 autocorrelation 0.955), so a random split puts neighbouring days in both train and test and rewards a model for interpolating it.</w:t>
      </w:r>
    </w:p>
    <w:p>
      <w:pPr>
        <w:spacing w:after="120"/>
      </w:pPr>
      <w:r>
        <w:rPr>
          <w:i w:val="0"/>
        </w:rPr>
        <w:t>Primary scheme: forward-chaining with a two-month test horizon (the same horizon as the real task):</w:t>
      </w:r>
    </w:p>
    <w:p>
      <w:pPr>
        <w:pStyle w:val="ListBullet"/>
        <w:spacing w:after="40"/>
      </w:pPr>
      <w:r>
        <w:t xml:space="preserve"> train Jan-Apr, test May-Jun</w:t>
      </w:r>
    </w:p>
    <w:p>
      <w:pPr>
        <w:pStyle w:val="ListBullet"/>
        <w:spacing w:after="40"/>
      </w:pPr>
      <w:r>
        <w:t xml:space="preserve"> train Jan-Jun, test Jul-Aug</w:t>
      </w:r>
    </w:p>
    <w:p>
      <w:pPr>
        <w:pStyle w:val="ListBullet"/>
        <w:spacing w:after="40"/>
      </w:pPr>
      <w:r>
        <w:t xml:space="preserve"> train Jan-Aug, test Sep-Oct (the fold that crosses the Oct 1 quarter boundary, closest to the real situation)</w:t>
      </w:r>
    </w:p>
    <w:p>
      <w:pPr>
        <w:spacing w:after="120"/>
      </w:pPr>
      <w:r>
        <w:rPr>
          <w:i w:val="0"/>
        </w:rPr>
        <w:t>Secondary scheme: unseen cities. Sep-Oct is tested on loads touching 8 randomly hidden cities, with those cities removed from training (4 random draws), mimicking the 8 cities that only appear in the validation file. Contrast scheme: shuffled 5-fold CV, reported only to show how optimistic it is (final-model MAE $27 vs $38 under forward-chaining).</w:t>
      </w:r>
    </w:p>
    <w:p>
      <w:pPr>
        <w:spacing w:after="120"/>
      </w:pPr>
      <w:r>
        <w:rPr>
          <w:i w:val="0"/>
        </w:rPr>
        <w:t>Labels used for scoring. Corrupted labels in a test fold cannot be predicted, and they dominate squared-error metrics (RMSE about $625 on raw labels versus about $56 on clean labels). Each scheme is therefore reported on both subsets. Corrupted rows are always excluded from training. The outlier flag uses labels only to delete rows, never as a feature.</w:t>
      </w:r>
    </w:p>
    <w:p>
      <w:pPr>
        <w:spacing w:after="120"/>
      </w:pPr>
      <w:r>
        <w:rPr>
          <w:i w:val="0"/>
        </w:rPr>
        <w:t>Final fit. After model selection, the model is trained on all 47,323 clean labeled rows and predicts the 12,000 validation loads. Boosting hyper-parameters (leaves=63, iterations=300) were picked by forward-chaining on a small grid.</w:t>
      </w:r>
    </w:p>
    <w:p>
      <w:pPr>
        <w:jc w:val="center"/>
      </w:pPr>
      <w:r>
        <w:drawing>
          <wp:inline xmlns:a="http://schemas.openxmlformats.org/drawingml/2006/main" xmlns:pic="http://schemas.openxmlformats.org/drawingml/2006/picture">
            <wp:extent cx="5669280" cy="3710471"/>
            <wp:docPr id="2" name="Picture 2"/>
            <wp:cNvGraphicFramePr>
              <a:graphicFrameLocks noChangeAspect="1"/>
            </wp:cNvGraphicFramePr>
            <a:graphic>
              <a:graphicData uri="http://schemas.openxmlformats.org/drawingml/2006/picture">
                <pic:pic>
                  <pic:nvPicPr>
                    <pic:cNvPr id="0" name="fig_split.png"/>
                    <pic:cNvPicPr/>
                  </pic:nvPicPr>
                  <pic:blipFill>
                    <a:blip r:embed="rId10"/>
                    <a:stretch>
                      <a:fillRect/>
                    </a:stretch>
                  </pic:blipFill>
                  <pic:spPr>
                    <a:xfrm>
                      <a:off x="0" y="0"/>
                      <a:ext cx="5669280" cy="3710471"/>
                    </a:xfrm>
                    <a:prstGeom prst="rect"/>
                  </pic:spPr>
                </pic:pic>
              </a:graphicData>
            </a:graphic>
          </wp:inline>
        </w:drawing>
      </w:r>
    </w:p>
    <w:p>
      <w:pPr>
        <w:jc w:val="center"/>
      </w:pPr>
      <w:r>
        <w:rPr>
          <w:i/>
          <w:color w:val="455A60"/>
          <w:sz w:val="17"/>
        </w:rPr>
        <w:t>Figure 2. The validation loads (shaded) come after all labeled data; the folds always train on the past and test on the next two months.</w:t>
      </w:r>
    </w:p>
    <w:p>
      <w:pPr>
        <w:pStyle w:val="Heading1"/>
      </w:pPr>
      <w:r>
        <w:rPr>
          <w:rFonts w:ascii="Calibri" w:hAnsi="Calibri"/>
          <w:color w:val="064A56"/>
        </w:rPr>
        <w:t>4. What drives the rate</w:t>
      </w:r>
    </w:p>
    <w:p>
      <w:pPr>
        <w:spacing w:after="120"/>
      </w:pPr>
      <w:r>
        <w:rPr>
          <w:i w:val="0"/>
        </w:rPr>
        <w:t>Distance, equipment, weight and the market index explain roughly 99.5% of the variance of clean log-rates. The remaining variation has a clear structure:</w:t>
      </w:r>
    </w:p>
    <w:p>
      <w:pPr>
        <w:pStyle w:val="ListBullet"/>
        <w:spacing w:after="40"/>
      </w:pPr>
      <w:r>
        <w:rPr>
          <w:b/>
        </w:rPr>
        <w:t>Calendar.</w:t>
      </w:r>
      <w:r>
        <w:t xml:space="preserve"> the daily mean residual is a trend (about +0.6% per 30 days) plus a ramp across the last four weeks of each quarter, reaching about +4% on the final day and dropping back on the first day of the next quarter. Together they explain the daily residual down to ~0.6% (pure noise is ~0.3%). They are modelled linearly because trees cannot extrapolate beyond the training period.</w:t>
      </w:r>
    </w:p>
    <w:p>
      <w:pPr>
        <w:pStyle w:val="ListBullet"/>
        <w:spacing w:after="40"/>
      </w:pPr>
      <w:r>
        <w:rPr>
          <w:b/>
        </w:rPr>
        <w:t>Date-level market signal.</w:t>
      </w:r>
      <w:r>
        <w:t xml:space="preserve"> the same-day average of quote_signal (and not the noisy per-load value) tracks the latent market state; removing it worsens forward MAE.</w:t>
      </w:r>
    </w:p>
    <w:p>
      <w:pPr>
        <w:pStyle w:val="ListBullet"/>
        <w:spacing w:after="40"/>
      </w:pPr>
      <w:r>
        <w:rPr>
          <w:b/>
        </w:rPr>
        <w:t>Geography.</w:t>
      </w:r>
      <w:r>
        <w:t xml:space="preserve"> origin/destination coordinates add a regional effect (for example origins such as Syracuse, Buffalo and Detroit run cheaper, Dallas, Lubbock and Oklahoma City dearer) that carries over to unseen cities: removing the coordinates raises forward MAE.</w:t>
      </w:r>
    </w:p>
    <w:p>
      <w:pPr>
        <w:jc w:val="center"/>
      </w:pPr>
      <w:r>
        <w:drawing>
          <wp:inline xmlns:a="http://schemas.openxmlformats.org/drawingml/2006/main" xmlns:pic="http://schemas.openxmlformats.org/drawingml/2006/picture">
            <wp:extent cx="5669280" cy="3445419"/>
            <wp:docPr id="3" name="Picture 3"/>
            <wp:cNvGraphicFramePr>
              <a:graphicFrameLocks noChangeAspect="1"/>
            </wp:cNvGraphicFramePr>
            <a:graphic>
              <a:graphicData uri="http://schemas.openxmlformats.org/drawingml/2006/picture">
                <pic:pic>
                  <pic:nvPicPr>
                    <pic:cNvPr id="0" name="fig_latent_state.png"/>
                    <pic:cNvPicPr/>
                  </pic:nvPicPr>
                  <pic:blipFill>
                    <a:blip r:embed="rId11"/>
                    <a:stretch>
                      <a:fillRect/>
                    </a:stretch>
                  </pic:blipFill>
                  <pic:spPr>
                    <a:xfrm>
                      <a:off x="0" y="0"/>
                      <a:ext cx="5669280" cy="3445419"/>
                    </a:xfrm>
                    <a:prstGeom prst="rect"/>
                  </pic:spPr>
                </pic:pic>
              </a:graphicData>
            </a:graphic>
          </wp:inline>
        </w:drawing>
      </w:r>
    </w:p>
    <w:p>
      <w:pPr>
        <w:jc w:val="center"/>
      </w:pPr>
      <w:r>
        <w:rPr>
          <w:i/>
          <w:color w:val="455A60"/>
          <w:sz w:val="17"/>
        </w:rPr>
        <w:t>Figure 3. Top: observed daily residual and the fitted calendar pattern (dashed: carried into Nov-Dec). Bottom: Dry Van daily mean quote_signal.</w:t>
      </w:r>
    </w:p>
    <w:p>
      <w:pPr>
        <w:pStyle w:val="Heading1"/>
      </w:pPr>
      <w:r>
        <w:rPr>
          <w:rFonts w:ascii="Calibri" w:hAnsi="Calibri"/>
          <w:color w:val="064A56"/>
        </w:rPr>
        <w:t>5. Chosen model and why</w:t>
      </w:r>
    </w:p>
    <w:p>
      <w:pPr>
        <w:spacing w:after="120"/>
      </w:pPr>
      <w:r>
        <w:rPr>
          <w:i w:val="0"/>
        </w:rPr>
        <w:t>Model: log(posted_rate) = linear part + boosted residuals.</w:t>
      </w:r>
    </w:p>
    <w:p>
      <w:pPr>
        <w:pStyle w:val="ListBullet"/>
        <w:spacing w:after="40"/>
      </w:pPr>
      <w:r>
        <w:rPr>
          <w:b/>
        </w:rPr>
        <w:t>Linear part:</w:t>
      </w:r>
      <w:r>
        <w:t xml:space="preserve"> ln(distance), equipment premiums, market_index, linear time trend and quarter-end ramp (28 days). These terms are smooth and extrapolate safely into November-December.</w:t>
      </w:r>
    </w:p>
    <w:p>
      <w:pPr>
        <w:pStyle w:val="ListBullet"/>
        <w:spacing w:after="40"/>
      </w:pPr>
      <w:r>
        <w:rPr>
          <w:b/>
        </w:rPr>
        <w:t>Boosted part:</w:t>
      </w:r>
      <w:r>
        <w:t xml:space="preserve"> histogram gradient boosting on what is left, using weight, per-load and date-level market signals, and the four coordinates.</w:t>
      </w:r>
    </w:p>
    <w:p>
      <w:pPr>
        <w:spacing w:after="120"/>
      </w:pPr>
      <w:r>
        <w:rPr>
          <w:i w:val="0"/>
        </w:rPr>
        <w:t>Why not a single model type? Pure gradient boosting is strong on interpolation but holds the last value in time, so it cannot follow the trend or the Q4 ramp. A pure linear model cannot learn geography and weight interactions. The hybrid takes the strengths of both, and the comparison below shows the gain at each step.</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4320"/>
            <w:shd w:val="clear" w:color="auto" w:fill="064A56"/>
          </w:tcPr>
          <w:p>
            <w:pPr>
              <w:spacing w:after="0"/>
            </w:pPr>
            <w:r/>
            <w:r>
              <w:rPr>
                <w:b/>
                <w:color w:val="FFFFFF"/>
                <w:sz w:val="18"/>
              </w:rPr>
              <w:t>Model</w:t>
            </w:r>
          </w:p>
        </w:tc>
        <w:tc>
          <w:tcPr>
            <w:tcW w:type="dxa" w:w="1296"/>
            <w:shd w:val="clear" w:color="auto" w:fill="064A56"/>
          </w:tcPr>
          <w:p>
            <w:pPr>
              <w:spacing w:after="0"/>
              <w:jc w:val="right"/>
            </w:pPr>
            <w:r/>
            <w:r>
              <w:rPr>
                <w:b/>
                <w:color w:val="FFFFFF"/>
                <w:sz w:val="18"/>
              </w:rPr>
              <w:t>Forward MAE ($)</w:t>
            </w:r>
          </w:p>
        </w:tc>
        <w:tc>
          <w:tcPr>
            <w:tcW w:type="dxa" w:w="1224"/>
            <w:shd w:val="clear" w:color="auto" w:fill="064A56"/>
          </w:tcPr>
          <w:p>
            <w:pPr>
              <w:spacing w:after="0"/>
              <w:jc w:val="right"/>
            </w:pPr>
            <w:r/>
            <w:r>
              <w:rPr>
                <w:b/>
                <w:color w:val="FFFFFF"/>
                <w:sz w:val="18"/>
              </w:rPr>
              <w:t>Forward MAPE</w:t>
            </w:r>
          </w:p>
        </w:tc>
        <w:tc>
          <w:tcPr>
            <w:tcW w:type="dxa" w:w="1512"/>
            <w:shd w:val="clear" w:color="auto" w:fill="064A56"/>
          </w:tcPr>
          <w:p>
            <w:pPr>
              <w:spacing w:after="0"/>
              <w:jc w:val="right"/>
            </w:pPr>
            <w:r/>
            <w:r>
              <w:rPr>
                <w:b/>
                <w:color w:val="FFFFFF"/>
                <w:sz w:val="18"/>
              </w:rPr>
              <w:t>Unseen-city MAE ($)</w:t>
            </w:r>
          </w:p>
        </w:tc>
        <w:tc>
          <w:tcPr>
            <w:tcW w:type="dxa" w:w="1368"/>
            <w:shd w:val="clear" w:color="auto" w:fill="064A56"/>
          </w:tcPr>
          <w:p>
            <w:pPr>
              <w:spacing w:after="0"/>
              <w:jc w:val="right"/>
            </w:pPr>
            <w:r/>
            <w:r>
              <w:rPr>
                <w:b/>
                <w:color w:val="FFFFFF"/>
                <w:sz w:val="18"/>
              </w:rPr>
              <w:t>Random-CV MAE ($)</w:t>
            </w:r>
          </w:p>
        </w:tc>
      </w:tr>
      <w:tr>
        <w:tc>
          <w:tcPr>
            <w:tcW w:type="dxa" w:w="4320"/>
          </w:tcPr>
          <w:p>
            <w:pPr>
              <w:spacing w:after="0"/>
            </w:pPr>
            <w:r/>
            <w:r>
              <w:rPr>
                <w:b w:val="0"/>
                <w:sz w:val="18"/>
              </w:rPr>
              <w:t>Baseline: log-linear (distance, equipment)</w:t>
            </w:r>
          </w:p>
        </w:tc>
        <w:tc>
          <w:tcPr>
            <w:tcW w:type="dxa" w:w="1296"/>
          </w:tcPr>
          <w:p>
            <w:pPr>
              <w:spacing w:after="0"/>
              <w:jc w:val="right"/>
            </w:pPr>
            <w:r/>
            <w:r>
              <w:rPr>
                <w:b w:val="0"/>
                <w:sz w:val="18"/>
              </w:rPr>
              <w:t>104.7</w:t>
            </w:r>
          </w:p>
        </w:tc>
        <w:tc>
          <w:tcPr>
            <w:tcW w:type="dxa" w:w="1224"/>
          </w:tcPr>
          <w:p>
            <w:pPr>
              <w:spacing w:after="0"/>
              <w:jc w:val="right"/>
            </w:pPr>
            <w:r/>
            <w:r>
              <w:rPr>
                <w:b w:val="0"/>
                <w:sz w:val="18"/>
              </w:rPr>
              <w:t>4.40%</w:t>
            </w:r>
          </w:p>
        </w:tc>
        <w:tc>
          <w:tcPr>
            <w:tcW w:type="dxa" w:w="1512"/>
          </w:tcPr>
          <w:p>
            <w:pPr>
              <w:spacing w:after="0"/>
              <w:jc w:val="right"/>
            </w:pPr>
            <w:r/>
            <w:r>
              <w:rPr>
                <w:b w:val="0"/>
                <w:sz w:val="18"/>
              </w:rPr>
              <w:t>82.8</w:t>
            </w:r>
          </w:p>
        </w:tc>
        <w:tc>
          <w:tcPr>
            <w:tcW w:type="dxa" w:w="1368"/>
          </w:tcPr>
          <w:p>
            <w:pPr>
              <w:spacing w:after="0"/>
              <w:jc w:val="right"/>
            </w:pPr>
            <w:r/>
            <w:r>
              <w:rPr>
                <w:b w:val="0"/>
                <w:sz w:val="18"/>
              </w:rPr>
              <w:t>92.9</w:t>
            </w:r>
          </w:p>
        </w:tc>
      </w:tr>
      <w:tr>
        <w:tc>
          <w:tcPr>
            <w:tcW w:type="dxa" w:w="4320"/>
            <w:shd w:val="clear" w:color="auto" w:fill="F5F8F8"/>
          </w:tcPr>
          <w:p>
            <w:pPr>
              <w:spacing w:after="0"/>
            </w:pPr>
            <w:r/>
            <w:r>
              <w:rPr>
                <w:b w:val="0"/>
                <w:sz w:val="18"/>
              </w:rPr>
              <w:t>Linear (all features + calendar terms)</w:t>
            </w:r>
          </w:p>
        </w:tc>
        <w:tc>
          <w:tcPr>
            <w:tcW w:type="dxa" w:w="1296"/>
            <w:shd w:val="clear" w:color="auto" w:fill="F5F8F8"/>
          </w:tcPr>
          <w:p>
            <w:pPr>
              <w:spacing w:after="0"/>
              <w:jc w:val="right"/>
            </w:pPr>
            <w:r/>
            <w:r>
              <w:rPr>
                <w:b w:val="0"/>
                <w:sz w:val="18"/>
              </w:rPr>
              <w:t>58.6</w:t>
            </w:r>
          </w:p>
        </w:tc>
        <w:tc>
          <w:tcPr>
            <w:tcW w:type="dxa" w:w="1224"/>
            <w:shd w:val="clear" w:color="auto" w:fill="F5F8F8"/>
          </w:tcPr>
          <w:p>
            <w:pPr>
              <w:spacing w:after="0"/>
              <w:jc w:val="right"/>
            </w:pPr>
            <w:r/>
            <w:r>
              <w:rPr>
                <w:b w:val="0"/>
                <w:sz w:val="18"/>
              </w:rPr>
              <w:t>2.75%</w:t>
            </w:r>
          </w:p>
        </w:tc>
        <w:tc>
          <w:tcPr>
            <w:tcW w:type="dxa" w:w="1512"/>
            <w:shd w:val="clear" w:color="auto" w:fill="F5F8F8"/>
          </w:tcPr>
          <w:p>
            <w:pPr>
              <w:spacing w:after="0"/>
              <w:jc w:val="right"/>
            </w:pPr>
            <w:r/>
            <w:r>
              <w:rPr>
                <w:b w:val="0"/>
                <w:sz w:val="18"/>
              </w:rPr>
              <w:t>60.0</w:t>
            </w:r>
          </w:p>
        </w:tc>
        <w:tc>
          <w:tcPr>
            <w:tcW w:type="dxa" w:w="1368"/>
            <w:shd w:val="clear" w:color="auto" w:fill="F5F8F8"/>
          </w:tcPr>
          <w:p>
            <w:pPr>
              <w:spacing w:after="0"/>
              <w:jc w:val="right"/>
            </w:pPr>
            <w:r/>
            <w:r>
              <w:rPr>
                <w:b w:val="0"/>
                <w:sz w:val="18"/>
              </w:rPr>
              <w:t>54.7</w:t>
            </w:r>
          </w:p>
        </w:tc>
      </w:tr>
      <w:tr>
        <w:tc>
          <w:tcPr>
            <w:tcW w:type="dxa" w:w="4320"/>
          </w:tcPr>
          <w:p>
            <w:pPr>
              <w:spacing w:after="0"/>
            </w:pPr>
            <w:r/>
            <w:r>
              <w:rPr>
                <w:b w:val="0"/>
                <w:sz w:val="18"/>
              </w:rPr>
              <w:t>Gradient boosting only</w:t>
            </w:r>
          </w:p>
        </w:tc>
        <w:tc>
          <w:tcPr>
            <w:tcW w:type="dxa" w:w="1296"/>
          </w:tcPr>
          <w:p>
            <w:pPr>
              <w:spacing w:after="0"/>
              <w:jc w:val="right"/>
            </w:pPr>
            <w:r/>
            <w:r>
              <w:rPr>
                <w:b w:val="0"/>
                <w:sz w:val="18"/>
              </w:rPr>
              <w:t>54.0</w:t>
            </w:r>
          </w:p>
        </w:tc>
        <w:tc>
          <w:tcPr>
            <w:tcW w:type="dxa" w:w="1224"/>
          </w:tcPr>
          <w:p>
            <w:pPr>
              <w:spacing w:after="0"/>
              <w:jc w:val="right"/>
            </w:pPr>
            <w:r/>
            <w:r>
              <w:rPr>
                <w:b w:val="0"/>
                <w:sz w:val="18"/>
              </w:rPr>
              <w:t>2.38%</w:t>
            </w:r>
          </w:p>
        </w:tc>
        <w:tc>
          <w:tcPr>
            <w:tcW w:type="dxa" w:w="1512"/>
          </w:tcPr>
          <w:p>
            <w:pPr>
              <w:spacing w:after="0"/>
              <w:jc w:val="right"/>
            </w:pPr>
            <w:r/>
            <w:r>
              <w:rPr>
                <w:b w:val="0"/>
                <w:sz w:val="18"/>
              </w:rPr>
              <w:t>55.1</w:t>
            </w:r>
          </w:p>
        </w:tc>
        <w:tc>
          <w:tcPr>
            <w:tcW w:type="dxa" w:w="1368"/>
          </w:tcPr>
          <w:p>
            <w:pPr>
              <w:spacing w:after="0"/>
              <w:jc w:val="right"/>
            </w:pPr>
            <w:r/>
            <w:r>
              <w:rPr>
                <w:b w:val="0"/>
                <w:sz w:val="18"/>
              </w:rPr>
              <w:t>28.8</w:t>
            </w:r>
          </w:p>
        </w:tc>
      </w:tr>
      <w:tr>
        <w:tc>
          <w:tcPr>
            <w:tcW w:type="dxa" w:w="4320"/>
            <w:shd w:val="clear" w:color="auto" w:fill="F5F8F8"/>
          </w:tcPr>
          <w:p>
            <w:pPr>
              <w:spacing w:after="0"/>
            </w:pPr>
            <w:r/>
            <w:r>
              <w:rPr>
                <w:b w:val="0"/>
                <w:sz w:val="18"/>
              </w:rPr>
              <w:t>Linear + boosted residuals (no calendar terms)</w:t>
            </w:r>
          </w:p>
        </w:tc>
        <w:tc>
          <w:tcPr>
            <w:tcW w:type="dxa" w:w="1296"/>
            <w:shd w:val="clear" w:color="auto" w:fill="F5F8F8"/>
          </w:tcPr>
          <w:p>
            <w:pPr>
              <w:spacing w:after="0"/>
              <w:jc w:val="right"/>
            </w:pPr>
            <w:r/>
            <w:r>
              <w:rPr>
                <w:b w:val="0"/>
                <w:sz w:val="18"/>
              </w:rPr>
              <w:t>49.7</w:t>
            </w:r>
          </w:p>
        </w:tc>
        <w:tc>
          <w:tcPr>
            <w:tcW w:type="dxa" w:w="1224"/>
            <w:shd w:val="clear" w:color="auto" w:fill="F5F8F8"/>
          </w:tcPr>
          <w:p>
            <w:pPr>
              <w:spacing w:after="0"/>
              <w:jc w:val="right"/>
            </w:pPr>
            <w:r/>
            <w:r>
              <w:rPr>
                <w:b w:val="0"/>
                <w:sz w:val="18"/>
              </w:rPr>
              <w:t>2.20%</w:t>
            </w:r>
          </w:p>
        </w:tc>
        <w:tc>
          <w:tcPr>
            <w:tcW w:type="dxa" w:w="1512"/>
            <w:shd w:val="clear" w:color="auto" w:fill="F5F8F8"/>
          </w:tcPr>
          <w:p>
            <w:pPr>
              <w:spacing w:after="0"/>
              <w:jc w:val="right"/>
            </w:pPr>
            <w:r/>
            <w:r>
              <w:rPr>
                <w:b w:val="0"/>
                <w:sz w:val="18"/>
              </w:rPr>
              <w:t>65.4</w:t>
            </w:r>
          </w:p>
        </w:tc>
        <w:tc>
          <w:tcPr>
            <w:tcW w:type="dxa" w:w="1368"/>
            <w:shd w:val="clear" w:color="auto" w:fill="F5F8F8"/>
          </w:tcPr>
          <w:p>
            <w:pPr>
              <w:spacing w:after="0"/>
              <w:jc w:val="right"/>
            </w:pPr>
            <w:r/>
            <w:r>
              <w:rPr>
                <w:b w:val="0"/>
                <w:sz w:val="18"/>
              </w:rPr>
              <w:t>27.6</w:t>
            </w:r>
          </w:p>
        </w:tc>
      </w:tr>
      <w:tr>
        <w:tc>
          <w:tcPr>
            <w:tcW w:type="dxa" w:w="4320"/>
          </w:tcPr>
          <w:p>
            <w:pPr>
              <w:spacing w:after="0"/>
            </w:pPr>
            <w:r/>
            <w:r>
              <w:rPr>
                <w:b w:val="0"/>
                <w:sz w:val="18"/>
              </w:rPr>
              <w:t>As 4 + linear trend only (no quarter-end ramp)</w:t>
            </w:r>
          </w:p>
        </w:tc>
        <w:tc>
          <w:tcPr>
            <w:tcW w:type="dxa" w:w="1296"/>
          </w:tcPr>
          <w:p>
            <w:pPr>
              <w:spacing w:after="0"/>
              <w:jc w:val="right"/>
            </w:pPr>
            <w:r/>
            <w:r>
              <w:rPr>
                <w:b w:val="0"/>
                <w:sz w:val="18"/>
              </w:rPr>
              <w:t>60.7</w:t>
            </w:r>
          </w:p>
        </w:tc>
        <w:tc>
          <w:tcPr>
            <w:tcW w:type="dxa" w:w="1224"/>
          </w:tcPr>
          <w:p>
            <w:pPr>
              <w:spacing w:after="0"/>
              <w:jc w:val="right"/>
            </w:pPr>
            <w:r/>
            <w:r>
              <w:rPr>
                <w:b w:val="0"/>
                <w:sz w:val="18"/>
              </w:rPr>
              <w:t>2.46%</w:t>
            </w:r>
          </w:p>
        </w:tc>
        <w:tc>
          <w:tcPr>
            <w:tcW w:type="dxa" w:w="1512"/>
          </w:tcPr>
          <w:p>
            <w:pPr>
              <w:spacing w:after="0"/>
              <w:jc w:val="right"/>
            </w:pPr>
            <w:r/>
            <w:r>
              <w:rPr>
                <w:b w:val="0"/>
                <w:sz w:val="18"/>
              </w:rPr>
              <w:t>37.8</w:t>
            </w:r>
          </w:p>
        </w:tc>
        <w:tc>
          <w:tcPr>
            <w:tcW w:type="dxa" w:w="1368"/>
          </w:tcPr>
          <w:p>
            <w:pPr>
              <w:spacing w:after="0"/>
              <w:jc w:val="right"/>
            </w:pPr>
            <w:r/>
            <w:r>
              <w:rPr>
                <w:b w:val="0"/>
                <w:sz w:val="18"/>
              </w:rPr>
              <w:t>27.6</w:t>
            </w:r>
          </w:p>
        </w:tc>
      </w:tr>
      <w:tr>
        <w:tc>
          <w:tcPr>
            <w:tcW w:type="dxa" w:w="4320"/>
            <w:shd w:val="clear" w:color="auto" w:fill="E6F0F2"/>
          </w:tcPr>
          <w:p>
            <w:pPr>
              <w:spacing w:after="0"/>
            </w:pPr>
            <w:r/>
            <w:r>
              <w:rPr>
                <w:b/>
                <w:sz w:val="18"/>
              </w:rPr>
              <w:t>Final: calendar-aware linear + boosted residuals</w:t>
            </w:r>
          </w:p>
        </w:tc>
        <w:tc>
          <w:tcPr>
            <w:tcW w:type="dxa" w:w="1296"/>
            <w:shd w:val="clear" w:color="auto" w:fill="E6F0F2"/>
          </w:tcPr>
          <w:p>
            <w:pPr>
              <w:spacing w:after="0"/>
              <w:jc w:val="right"/>
            </w:pPr>
            <w:r/>
            <w:r>
              <w:rPr>
                <w:b/>
                <w:sz w:val="18"/>
              </w:rPr>
              <w:t>37.8</w:t>
            </w:r>
          </w:p>
        </w:tc>
        <w:tc>
          <w:tcPr>
            <w:tcW w:type="dxa" w:w="1224"/>
            <w:shd w:val="clear" w:color="auto" w:fill="E6F0F2"/>
          </w:tcPr>
          <w:p>
            <w:pPr>
              <w:spacing w:after="0"/>
              <w:jc w:val="right"/>
            </w:pPr>
            <w:r/>
            <w:r>
              <w:rPr>
                <w:b/>
                <w:sz w:val="18"/>
              </w:rPr>
              <w:t>1.56%</w:t>
            </w:r>
          </w:p>
        </w:tc>
        <w:tc>
          <w:tcPr>
            <w:tcW w:type="dxa" w:w="1512"/>
            <w:shd w:val="clear" w:color="auto" w:fill="E6F0F2"/>
          </w:tcPr>
          <w:p>
            <w:pPr>
              <w:spacing w:after="0"/>
              <w:jc w:val="right"/>
            </w:pPr>
            <w:r/>
            <w:r>
              <w:rPr>
                <w:b/>
                <w:sz w:val="18"/>
              </w:rPr>
              <w:t>32.9</w:t>
            </w:r>
          </w:p>
        </w:tc>
        <w:tc>
          <w:tcPr>
            <w:tcW w:type="dxa" w:w="1368"/>
            <w:shd w:val="clear" w:color="auto" w:fill="E6F0F2"/>
          </w:tcPr>
          <w:p>
            <w:pPr>
              <w:spacing w:after="0"/>
              <w:jc w:val="right"/>
            </w:pPr>
            <w:r/>
            <w:r>
              <w:rPr>
                <w:b/>
                <w:sz w:val="18"/>
              </w:rPr>
              <w:t>27.3</w:t>
            </w:r>
          </w:p>
        </w:tc>
      </w:tr>
    </w:tbl>
    <w:p>
      <w:pPr>
        <w:spacing w:after="40"/>
      </w:pPr>
    </w:p>
    <w:p>
      <w:pPr>
        <w:spacing w:after="120"/>
      </w:pPr>
      <w:r>
        <w:rPr>
          <w:i/>
          <w:sz w:val="18"/>
        </w:rPr>
        <w:t>Clean labels, mean over folds. Model 5 shows that a trend on its own is unstable (the quarter-end ramps masquerade as trend); both terms are needed.</w:t>
      </w:r>
    </w:p>
    <w:p>
      <w:pPr>
        <w:jc w:val="center"/>
      </w:pPr>
      <w:r>
        <w:drawing>
          <wp:inline xmlns:a="http://schemas.openxmlformats.org/drawingml/2006/main" xmlns:pic="http://schemas.openxmlformats.org/drawingml/2006/picture">
            <wp:extent cx="5669280" cy="2268807"/>
            <wp:docPr id="4" name="Picture 4"/>
            <wp:cNvGraphicFramePr>
              <a:graphicFrameLocks noChangeAspect="1"/>
            </wp:cNvGraphicFramePr>
            <a:graphic>
              <a:graphicData uri="http://schemas.openxmlformats.org/drawingml/2006/picture">
                <pic:pic>
                  <pic:nvPicPr>
                    <pic:cNvPr id="0" name="fig_models.png"/>
                    <pic:cNvPicPr/>
                  </pic:nvPicPr>
                  <pic:blipFill>
                    <a:blip r:embed="rId12"/>
                    <a:stretch>
                      <a:fillRect/>
                    </a:stretch>
                  </pic:blipFill>
                  <pic:spPr>
                    <a:xfrm>
                      <a:off x="0" y="0"/>
                      <a:ext cx="5669280" cy="2268807"/>
                    </a:xfrm>
                    <a:prstGeom prst="rect"/>
                  </pic:spPr>
                </pic:pic>
              </a:graphicData>
            </a:graphic>
          </wp:inline>
        </w:drawing>
      </w:r>
    </w:p>
    <w:p>
      <w:pPr>
        <w:jc w:val="center"/>
      </w:pPr>
      <w:r>
        <w:rPr>
          <w:i/>
          <w:color w:val="455A60"/>
          <w:sz w:val="17"/>
        </w:rPr>
        <w:t>Figure 4. Forward-chaining error versus the (misleadingly low) random-CV error.</w:t>
      </w:r>
    </w:p>
    <w:p>
      <w:pPr>
        <w:pStyle w:val="Heading2"/>
      </w:pPr>
      <w:r>
        <w:rPr>
          <w:rFonts w:ascii="Calibri" w:hAnsi="Calibri"/>
          <w:color w:val="064A56"/>
        </w:rPr>
        <w:t>Per-fold results of the final model</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1584"/>
            <w:shd w:val="clear" w:color="auto" w:fill="064A56"/>
          </w:tcPr>
          <w:p>
            <w:pPr>
              <w:spacing w:after="0"/>
            </w:pPr>
            <w:r/>
            <w:r>
              <w:rPr>
                <w:b/>
                <w:color w:val="FFFFFF"/>
                <w:sz w:val="18"/>
              </w:rPr>
              <w:t>Test fold</w:t>
            </w:r>
          </w:p>
        </w:tc>
        <w:tc>
          <w:tcPr>
            <w:tcW w:type="dxa" w:w="1152"/>
            <w:shd w:val="clear" w:color="auto" w:fill="064A56"/>
          </w:tcPr>
          <w:p>
            <w:pPr>
              <w:spacing w:after="0"/>
              <w:jc w:val="right"/>
            </w:pPr>
            <w:r/>
            <w:r>
              <w:rPr>
                <w:b/>
                <w:color w:val="FFFFFF"/>
                <w:sz w:val="18"/>
              </w:rPr>
              <w:t>Rows</w:t>
            </w:r>
          </w:p>
        </w:tc>
        <w:tc>
          <w:tcPr>
            <w:tcW w:type="dxa" w:w="1296"/>
            <w:shd w:val="clear" w:color="auto" w:fill="064A56"/>
          </w:tcPr>
          <w:p>
            <w:pPr>
              <w:spacing w:after="0"/>
              <w:jc w:val="right"/>
            </w:pPr>
            <w:r/>
            <w:r>
              <w:rPr>
                <w:b/>
                <w:color w:val="FFFFFF"/>
                <w:sz w:val="18"/>
              </w:rPr>
              <w:t>MAE ($)</w:t>
            </w:r>
          </w:p>
        </w:tc>
        <w:tc>
          <w:tcPr>
            <w:tcW w:type="dxa" w:w="1152"/>
            <w:shd w:val="clear" w:color="auto" w:fill="064A56"/>
          </w:tcPr>
          <w:p>
            <w:pPr>
              <w:spacing w:after="0"/>
              <w:jc w:val="right"/>
            </w:pPr>
            <w:r/>
            <w:r>
              <w:rPr>
                <w:b/>
                <w:color w:val="FFFFFF"/>
                <w:sz w:val="18"/>
              </w:rPr>
              <w:t>MAPE</w:t>
            </w:r>
          </w:p>
        </w:tc>
        <w:tc>
          <w:tcPr>
            <w:tcW w:type="dxa" w:w="1152"/>
            <w:shd w:val="clear" w:color="auto" w:fill="064A56"/>
          </w:tcPr>
          <w:p>
            <w:pPr>
              <w:spacing w:after="0"/>
              <w:jc w:val="right"/>
            </w:pPr>
            <w:r/>
            <w:r>
              <w:rPr>
                <w:b/>
                <w:color w:val="FFFFFF"/>
                <w:sz w:val="18"/>
              </w:rPr>
              <w:t>R2</w:t>
            </w:r>
          </w:p>
        </w:tc>
        <w:tc>
          <w:tcPr>
            <w:tcW w:type="dxa" w:w="1584"/>
            <w:shd w:val="clear" w:color="auto" w:fill="064A56"/>
          </w:tcPr>
          <w:p>
            <w:pPr>
              <w:spacing w:after="0"/>
              <w:jc w:val="right"/>
            </w:pPr>
            <w:r/>
            <w:r>
              <w:rPr>
                <w:b/>
                <w:color w:val="FFFFFF"/>
                <w:sz w:val="18"/>
              </w:rPr>
              <w:t>MAE raw ($)</w:t>
            </w:r>
          </w:p>
        </w:tc>
        <w:tc>
          <w:tcPr>
            <w:tcW w:type="dxa" w:w="1440"/>
            <w:shd w:val="clear" w:color="auto" w:fill="064A56"/>
          </w:tcPr>
          <w:p>
            <w:pPr>
              <w:spacing w:after="0"/>
              <w:jc w:val="right"/>
            </w:pPr>
            <w:r/>
            <w:r>
              <w:rPr>
                <w:b/>
                <w:color w:val="FFFFFF"/>
                <w:sz w:val="18"/>
              </w:rPr>
              <w:t>MAPE raw</w:t>
            </w:r>
          </w:p>
        </w:tc>
      </w:tr>
      <w:tr>
        <w:tc>
          <w:tcPr>
            <w:tcW w:type="dxa" w:w="1584"/>
          </w:tcPr>
          <w:p>
            <w:pPr>
              <w:spacing w:after="0"/>
            </w:pPr>
            <w:r/>
            <w:r>
              <w:rPr>
                <w:b w:val="0"/>
                <w:sz w:val="18"/>
              </w:rPr>
              <w:t>May-Jun</w:t>
            </w:r>
          </w:p>
        </w:tc>
        <w:tc>
          <w:tcPr>
            <w:tcW w:type="dxa" w:w="1152"/>
          </w:tcPr>
          <w:p>
            <w:pPr>
              <w:spacing w:after="0"/>
              <w:jc w:val="right"/>
            </w:pPr>
            <w:r/>
            <w:r>
              <w:rPr>
                <w:b w:val="0"/>
                <w:sz w:val="18"/>
              </w:rPr>
              <w:t>9,571</w:t>
            </w:r>
          </w:p>
        </w:tc>
        <w:tc>
          <w:tcPr>
            <w:tcW w:type="dxa" w:w="1296"/>
          </w:tcPr>
          <w:p>
            <w:pPr>
              <w:spacing w:after="0"/>
              <w:jc w:val="right"/>
            </w:pPr>
            <w:r/>
            <w:r>
              <w:rPr>
                <w:b w:val="0"/>
                <w:sz w:val="18"/>
              </w:rPr>
              <w:t>29.4</w:t>
            </w:r>
          </w:p>
        </w:tc>
        <w:tc>
          <w:tcPr>
            <w:tcW w:type="dxa" w:w="1152"/>
          </w:tcPr>
          <w:p>
            <w:pPr>
              <w:spacing w:after="0"/>
              <w:jc w:val="right"/>
            </w:pPr>
            <w:r/>
            <w:r>
              <w:rPr>
                <w:b w:val="0"/>
                <w:sz w:val="18"/>
              </w:rPr>
              <w:t>1.22%</w:t>
            </w:r>
          </w:p>
        </w:tc>
        <w:tc>
          <w:tcPr>
            <w:tcW w:type="dxa" w:w="1152"/>
          </w:tcPr>
          <w:p>
            <w:pPr>
              <w:spacing w:after="0"/>
              <w:jc w:val="right"/>
            </w:pPr>
            <w:r/>
            <w:r>
              <w:rPr>
                <w:b w:val="0"/>
                <w:sz w:val="18"/>
              </w:rPr>
              <w:t>0.9991</w:t>
            </w:r>
          </w:p>
        </w:tc>
        <w:tc>
          <w:tcPr>
            <w:tcW w:type="dxa" w:w="1584"/>
          </w:tcPr>
          <w:p>
            <w:pPr>
              <w:spacing w:after="0"/>
              <w:jc w:val="right"/>
            </w:pPr>
            <w:r/>
            <w:r>
              <w:rPr>
                <w:b w:val="0"/>
                <w:sz w:val="18"/>
              </w:rPr>
              <w:t>83.3</w:t>
            </w:r>
          </w:p>
        </w:tc>
        <w:tc>
          <w:tcPr>
            <w:tcW w:type="dxa" w:w="1440"/>
          </w:tcPr>
          <w:p>
            <w:pPr>
              <w:spacing w:after="0"/>
              <w:jc w:val="right"/>
            </w:pPr>
            <w:r/>
            <w:r>
              <w:rPr>
                <w:b w:val="0"/>
                <w:sz w:val="18"/>
              </w:rPr>
              <w:t>3.51%</w:t>
            </w:r>
          </w:p>
        </w:tc>
      </w:tr>
      <w:tr>
        <w:tc>
          <w:tcPr>
            <w:tcW w:type="dxa" w:w="1584"/>
            <w:shd w:val="clear" w:color="auto" w:fill="F5F8F8"/>
          </w:tcPr>
          <w:p>
            <w:pPr>
              <w:spacing w:after="0"/>
            </w:pPr>
            <w:r/>
            <w:r>
              <w:rPr>
                <w:b w:val="0"/>
                <w:sz w:val="18"/>
              </w:rPr>
              <w:t>Jul-Aug</w:t>
            </w:r>
          </w:p>
        </w:tc>
        <w:tc>
          <w:tcPr>
            <w:tcW w:type="dxa" w:w="1152"/>
            <w:shd w:val="clear" w:color="auto" w:fill="F5F8F8"/>
          </w:tcPr>
          <w:p>
            <w:pPr>
              <w:spacing w:after="0"/>
              <w:jc w:val="right"/>
            </w:pPr>
            <w:r/>
            <w:r>
              <w:rPr>
                <w:b w:val="0"/>
                <w:sz w:val="18"/>
              </w:rPr>
              <w:t>9,538</w:t>
            </w:r>
          </w:p>
        </w:tc>
        <w:tc>
          <w:tcPr>
            <w:tcW w:type="dxa" w:w="1296"/>
            <w:shd w:val="clear" w:color="auto" w:fill="F5F8F8"/>
          </w:tcPr>
          <w:p>
            <w:pPr>
              <w:spacing w:after="0"/>
              <w:jc w:val="right"/>
            </w:pPr>
            <w:r/>
            <w:r>
              <w:rPr>
                <w:b w:val="0"/>
                <w:sz w:val="18"/>
              </w:rPr>
              <w:t>54.4</w:t>
            </w:r>
          </w:p>
        </w:tc>
        <w:tc>
          <w:tcPr>
            <w:tcW w:type="dxa" w:w="1152"/>
            <w:shd w:val="clear" w:color="auto" w:fill="F5F8F8"/>
          </w:tcPr>
          <w:p>
            <w:pPr>
              <w:spacing w:after="0"/>
              <w:jc w:val="right"/>
            </w:pPr>
            <w:r/>
            <w:r>
              <w:rPr>
                <w:b w:val="0"/>
                <w:sz w:val="18"/>
              </w:rPr>
              <w:t>2.17%</w:t>
            </w:r>
          </w:p>
        </w:tc>
        <w:tc>
          <w:tcPr>
            <w:tcW w:type="dxa" w:w="1152"/>
            <w:shd w:val="clear" w:color="auto" w:fill="F5F8F8"/>
          </w:tcPr>
          <w:p>
            <w:pPr>
              <w:spacing w:after="0"/>
              <w:jc w:val="right"/>
            </w:pPr>
            <w:r/>
            <w:r>
              <w:rPr>
                <w:b w:val="0"/>
                <w:sz w:val="18"/>
              </w:rPr>
              <w:t>0.9962</w:t>
            </w:r>
          </w:p>
        </w:tc>
        <w:tc>
          <w:tcPr>
            <w:tcW w:type="dxa" w:w="1584"/>
            <w:shd w:val="clear" w:color="auto" w:fill="F5F8F8"/>
          </w:tcPr>
          <w:p>
            <w:pPr>
              <w:spacing w:after="0"/>
              <w:jc w:val="right"/>
            </w:pPr>
            <w:r/>
            <w:r>
              <w:rPr>
                <w:b w:val="0"/>
                <w:sz w:val="18"/>
              </w:rPr>
              <w:t>106.3</w:t>
            </w:r>
          </w:p>
        </w:tc>
        <w:tc>
          <w:tcPr>
            <w:tcW w:type="dxa" w:w="1440"/>
            <w:shd w:val="clear" w:color="auto" w:fill="F5F8F8"/>
          </w:tcPr>
          <w:p>
            <w:pPr>
              <w:spacing w:after="0"/>
              <w:jc w:val="right"/>
            </w:pPr>
            <w:r/>
            <w:r>
              <w:rPr>
                <w:b w:val="0"/>
                <w:sz w:val="18"/>
              </w:rPr>
              <w:t>4.47%</w:t>
            </w:r>
          </w:p>
        </w:tc>
      </w:tr>
      <w:tr>
        <w:tc>
          <w:tcPr>
            <w:tcW w:type="dxa" w:w="1584"/>
          </w:tcPr>
          <w:p>
            <w:pPr>
              <w:spacing w:after="0"/>
            </w:pPr>
            <w:r/>
            <w:r>
              <w:rPr>
                <w:b w:val="0"/>
                <w:sz w:val="18"/>
              </w:rPr>
              <w:t>Sep-Oct</w:t>
            </w:r>
          </w:p>
        </w:tc>
        <w:tc>
          <w:tcPr>
            <w:tcW w:type="dxa" w:w="1152"/>
          </w:tcPr>
          <w:p>
            <w:pPr>
              <w:spacing w:after="0"/>
              <w:jc w:val="right"/>
            </w:pPr>
            <w:r/>
            <w:r>
              <w:rPr>
                <w:b w:val="0"/>
                <w:sz w:val="18"/>
              </w:rPr>
              <w:t>9,379</w:t>
            </w:r>
          </w:p>
        </w:tc>
        <w:tc>
          <w:tcPr>
            <w:tcW w:type="dxa" w:w="1296"/>
          </w:tcPr>
          <w:p>
            <w:pPr>
              <w:spacing w:after="0"/>
              <w:jc w:val="right"/>
            </w:pPr>
            <w:r/>
            <w:r>
              <w:rPr>
                <w:b w:val="0"/>
                <w:sz w:val="18"/>
              </w:rPr>
              <w:t>29.5</w:t>
            </w:r>
          </w:p>
        </w:tc>
        <w:tc>
          <w:tcPr>
            <w:tcW w:type="dxa" w:w="1152"/>
          </w:tcPr>
          <w:p>
            <w:pPr>
              <w:spacing w:after="0"/>
              <w:jc w:val="right"/>
            </w:pPr>
            <w:r/>
            <w:r>
              <w:rPr>
                <w:b w:val="0"/>
                <w:sz w:val="18"/>
              </w:rPr>
              <w:t>1.28%</w:t>
            </w:r>
          </w:p>
        </w:tc>
        <w:tc>
          <w:tcPr>
            <w:tcW w:type="dxa" w:w="1152"/>
          </w:tcPr>
          <w:p>
            <w:pPr>
              <w:spacing w:after="0"/>
              <w:jc w:val="right"/>
            </w:pPr>
            <w:r/>
            <w:r>
              <w:rPr>
                <w:b w:val="0"/>
                <w:sz w:val="18"/>
              </w:rPr>
              <w:t>0.9991</w:t>
            </w:r>
          </w:p>
        </w:tc>
        <w:tc>
          <w:tcPr>
            <w:tcW w:type="dxa" w:w="1584"/>
          </w:tcPr>
          <w:p>
            <w:pPr>
              <w:spacing w:after="0"/>
              <w:jc w:val="right"/>
            </w:pPr>
            <w:r/>
            <w:r>
              <w:rPr>
                <w:b w:val="0"/>
                <w:sz w:val="18"/>
              </w:rPr>
              <w:t>85.7</w:t>
            </w:r>
          </w:p>
        </w:tc>
        <w:tc>
          <w:tcPr>
            <w:tcW w:type="dxa" w:w="1440"/>
          </w:tcPr>
          <w:p>
            <w:pPr>
              <w:spacing w:after="0"/>
              <w:jc w:val="right"/>
            </w:pPr>
            <w:r/>
            <w:r>
              <w:rPr>
                <w:b w:val="0"/>
                <w:sz w:val="18"/>
              </w:rPr>
              <w:t>3.82%</w:t>
            </w:r>
          </w:p>
        </w:tc>
      </w:tr>
    </w:tbl>
    <w:p>
      <w:pPr>
        <w:spacing w:after="40"/>
      </w:pPr>
    </w:p>
    <w:p>
      <w:pPr>
        <w:pStyle w:val="Heading2"/>
      </w:pPr>
      <w:r>
        <w:rPr>
          <w:rFonts w:ascii="Calibri" w:hAnsi="Calibri"/>
          <w:color w:val="064A56"/>
        </w:rPr>
        <w:t>Ablation (what each part contributes)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896"/>
            <w:shd w:val="clear" w:color="auto" w:fill="064A56"/>
          </w:tcPr>
          <w:p>
            <w:pPr>
              <w:spacing w:after="0"/>
            </w:pPr>
            <w:r/>
            <w:r>
              <w:rPr>
                <w:b/>
                <w:color w:val="FFFFFF"/>
                <w:sz w:val="18"/>
              </w:rPr>
              <w:t>Final model with the item removed</w:t>
            </w:r>
          </w:p>
        </w:tc>
        <w:tc>
          <w:tcPr>
            <w:tcW w:type="dxa" w:w="1440"/>
            <w:shd w:val="clear" w:color="auto" w:fill="064A56"/>
          </w:tcPr>
          <w:p>
            <w:pPr>
              <w:spacing w:after="0"/>
              <w:jc w:val="right"/>
            </w:pPr>
            <w:r/>
            <w:r>
              <w:rPr>
                <w:b/>
                <w:color w:val="FFFFFF"/>
                <w:sz w:val="18"/>
              </w:rPr>
              <w:t>MAE ($)</w:t>
            </w:r>
          </w:p>
        </w:tc>
        <w:tc>
          <w:tcPr>
            <w:tcW w:type="dxa" w:w="1440"/>
            <w:shd w:val="clear" w:color="auto" w:fill="064A56"/>
          </w:tcPr>
          <w:p>
            <w:pPr>
              <w:spacing w:after="0"/>
              <w:jc w:val="right"/>
            </w:pPr>
            <w:r/>
            <w:r>
              <w:rPr>
                <w:b/>
                <w:color w:val="FFFFFF"/>
                <w:sz w:val="18"/>
              </w:rPr>
              <w:t>MAPE</w:t>
            </w:r>
          </w:p>
        </w:tc>
        <w:tc>
          <w:tcPr>
            <w:tcW w:type="dxa" w:w="1440"/>
            <w:shd w:val="clear" w:color="auto" w:fill="064A56"/>
          </w:tcPr>
          <w:p>
            <w:pPr>
              <w:spacing w:after="0"/>
              <w:jc w:val="right"/>
            </w:pPr>
            <w:r/>
            <w:r>
              <w:rPr>
                <w:b/>
                <w:color w:val="FFFFFF"/>
                <w:sz w:val="18"/>
              </w:rPr>
              <w:t>R2</w:t>
            </w:r>
          </w:p>
        </w:tc>
      </w:tr>
      <w:tr>
        <w:tc>
          <w:tcPr>
            <w:tcW w:type="dxa" w:w="4896"/>
          </w:tcPr>
          <w:p>
            <w:pPr>
              <w:spacing w:after="0"/>
            </w:pPr>
            <w:r/>
            <w:r>
              <w:rPr>
                <w:b w:val="0"/>
                <w:sz w:val="18"/>
              </w:rPr>
              <w:t>final (all features)</w:t>
            </w:r>
          </w:p>
        </w:tc>
        <w:tc>
          <w:tcPr>
            <w:tcW w:type="dxa" w:w="1440"/>
          </w:tcPr>
          <w:p>
            <w:pPr>
              <w:spacing w:after="0"/>
              <w:jc w:val="right"/>
            </w:pPr>
            <w:r/>
            <w:r>
              <w:rPr>
                <w:b w:val="0"/>
                <w:sz w:val="18"/>
              </w:rPr>
              <w:t>37.8</w:t>
            </w:r>
          </w:p>
        </w:tc>
        <w:tc>
          <w:tcPr>
            <w:tcW w:type="dxa" w:w="1440"/>
          </w:tcPr>
          <w:p>
            <w:pPr>
              <w:spacing w:after="0"/>
              <w:jc w:val="right"/>
            </w:pPr>
            <w:r/>
            <w:r>
              <w:rPr>
                <w:b w:val="0"/>
                <w:sz w:val="18"/>
              </w:rPr>
              <w:t>1.56%</w:t>
            </w:r>
          </w:p>
        </w:tc>
        <w:tc>
          <w:tcPr>
            <w:tcW w:type="dxa" w:w="1440"/>
          </w:tcPr>
          <w:p>
            <w:pPr>
              <w:spacing w:after="0"/>
              <w:jc w:val="right"/>
            </w:pPr>
            <w:r/>
            <w:r>
              <w:rPr>
                <w:b w:val="0"/>
                <w:sz w:val="18"/>
              </w:rPr>
              <w:t>0.9981</w:t>
            </w:r>
          </w:p>
        </w:tc>
      </w:tr>
      <w:tr>
        <w:tc>
          <w:tcPr>
            <w:tcW w:type="dxa" w:w="4896"/>
            <w:shd w:val="clear" w:color="auto" w:fill="F5F8F8"/>
          </w:tcPr>
          <w:p>
            <w:pPr>
              <w:spacing w:after="0"/>
            </w:pPr>
            <w:r/>
            <w:r>
              <w:rPr>
                <w:b w:val="0"/>
                <w:sz w:val="18"/>
              </w:rPr>
              <w:t>- quarter-end ramp (keep trend)</w:t>
            </w:r>
          </w:p>
        </w:tc>
        <w:tc>
          <w:tcPr>
            <w:tcW w:type="dxa" w:w="1440"/>
            <w:shd w:val="clear" w:color="auto" w:fill="F5F8F8"/>
          </w:tcPr>
          <w:p>
            <w:pPr>
              <w:spacing w:after="0"/>
              <w:jc w:val="right"/>
            </w:pPr>
            <w:r/>
            <w:r>
              <w:rPr>
                <w:b w:val="0"/>
                <w:sz w:val="18"/>
              </w:rPr>
              <w:t>60.7</w:t>
            </w:r>
          </w:p>
        </w:tc>
        <w:tc>
          <w:tcPr>
            <w:tcW w:type="dxa" w:w="1440"/>
            <w:shd w:val="clear" w:color="auto" w:fill="F5F8F8"/>
          </w:tcPr>
          <w:p>
            <w:pPr>
              <w:spacing w:after="0"/>
              <w:jc w:val="right"/>
            </w:pPr>
            <w:r/>
            <w:r>
              <w:rPr>
                <w:b w:val="0"/>
                <w:sz w:val="18"/>
              </w:rPr>
              <w:t>2.46%</w:t>
            </w:r>
          </w:p>
        </w:tc>
        <w:tc>
          <w:tcPr>
            <w:tcW w:type="dxa" w:w="1440"/>
            <w:shd w:val="clear" w:color="auto" w:fill="F5F8F8"/>
          </w:tcPr>
          <w:p>
            <w:pPr>
              <w:spacing w:after="0"/>
              <w:jc w:val="right"/>
            </w:pPr>
            <w:r/>
            <w:r>
              <w:rPr>
                <w:b w:val="0"/>
                <w:sz w:val="18"/>
              </w:rPr>
              <w:t>0.9948</w:t>
            </w:r>
          </w:p>
        </w:tc>
      </w:tr>
      <w:tr>
        <w:tc>
          <w:tcPr>
            <w:tcW w:type="dxa" w:w="4896"/>
          </w:tcPr>
          <w:p>
            <w:pPr>
              <w:spacing w:after="0"/>
            </w:pPr>
            <w:r/>
            <w:r>
              <w:rPr>
                <w:b w:val="0"/>
                <w:sz w:val="18"/>
              </w:rPr>
              <w:t>- trend (keep quarter-end ramp)</w:t>
            </w:r>
          </w:p>
        </w:tc>
        <w:tc>
          <w:tcPr>
            <w:tcW w:type="dxa" w:w="1440"/>
          </w:tcPr>
          <w:p>
            <w:pPr>
              <w:spacing w:after="0"/>
              <w:jc w:val="right"/>
            </w:pPr>
            <w:r/>
            <w:r>
              <w:rPr>
                <w:b w:val="0"/>
                <w:sz w:val="18"/>
              </w:rPr>
              <w:t>52.4</w:t>
            </w:r>
          </w:p>
        </w:tc>
        <w:tc>
          <w:tcPr>
            <w:tcW w:type="dxa" w:w="1440"/>
          </w:tcPr>
          <w:p>
            <w:pPr>
              <w:spacing w:after="0"/>
              <w:jc w:val="right"/>
            </w:pPr>
            <w:r/>
            <w:r>
              <w:rPr>
                <w:b w:val="0"/>
                <w:sz w:val="18"/>
              </w:rPr>
              <w:t>2.31%</w:t>
            </w:r>
          </w:p>
        </w:tc>
        <w:tc>
          <w:tcPr>
            <w:tcW w:type="dxa" w:w="1440"/>
          </w:tcPr>
          <w:p>
            <w:pPr>
              <w:spacing w:after="0"/>
              <w:jc w:val="right"/>
            </w:pPr>
            <w:r/>
            <w:r>
              <w:rPr>
                <w:b w:val="0"/>
                <w:sz w:val="18"/>
              </w:rPr>
              <w:t>0.9972</w:t>
            </w:r>
          </w:p>
        </w:tc>
      </w:tr>
      <w:tr>
        <w:tc>
          <w:tcPr>
            <w:tcW w:type="dxa" w:w="4896"/>
            <w:shd w:val="clear" w:color="auto" w:fill="F5F8F8"/>
          </w:tcPr>
          <w:p>
            <w:pPr>
              <w:spacing w:after="0"/>
            </w:pPr>
            <w:r/>
            <w:r>
              <w:rPr>
                <w:b w:val="0"/>
                <w:sz w:val="18"/>
              </w:rPr>
              <w:t>- coordinates</w:t>
            </w:r>
          </w:p>
        </w:tc>
        <w:tc>
          <w:tcPr>
            <w:tcW w:type="dxa" w:w="1440"/>
            <w:shd w:val="clear" w:color="auto" w:fill="F5F8F8"/>
          </w:tcPr>
          <w:p>
            <w:pPr>
              <w:spacing w:after="0"/>
              <w:jc w:val="right"/>
            </w:pPr>
            <w:r/>
            <w:r>
              <w:rPr>
                <w:b w:val="0"/>
                <w:sz w:val="18"/>
              </w:rPr>
              <w:t>48.5</w:t>
            </w:r>
          </w:p>
        </w:tc>
        <w:tc>
          <w:tcPr>
            <w:tcW w:type="dxa" w:w="1440"/>
            <w:shd w:val="clear" w:color="auto" w:fill="F5F8F8"/>
          </w:tcPr>
          <w:p>
            <w:pPr>
              <w:spacing w:after="0"/>
              <w:jc w:val="right"/>
            </w:pPr>
            <w:r/>
            <w:r>
              <w:rPr>
                <w:b w:val="0"/>
                <w:sz w:val="18"/>
              </w:rPr>
              <w:t>2.15%</w:t>
            </w:r>
          </w:p>
        </w:tc>
        <w:tc>
          <w:tcPr>
            <w:tcW w:type="dxa" w:w="1440"/>
            <w:shd w:val="clear" w:color="auto" w:fill="F5F8F8"/>
          </w:tcPr>
          <w:p>
            <w:pPr>
              <w:spacing w:after="0"/>
              <w:jc w:val="right"/>
            </w:pPr>
            <w:r/>
            <w:r>
              <w:rPr>
                <w:b w:val="0"/>
                <w:sz w:val="18"/>
              </w:rPr>
              <w:t>0.9967</w:t>
            </w:r>
          </w:p>
        </w:tc>
      </w:tr>
      <w:tr>
        <w:tc>
          <w:tcPr>
            <w:tcW w:type="dxa" w:w="4896"/>
          </w:tcPr>
          <w:p>
            <w:pPr>
              <w:spacing w:after="0"/>
            </w:pPr>
            <w:r/>
            <w:r>
              <w:rPr>
                <w:b w:val="0"/>
                <w:sz w:val="18"/>
              </w:rPr>
              <w:t>- date-level quote_signal</w:t>
            </w:r>
          </w:p>
        </w:tc>
        <w:tc>
          <w:tcPr>
            <w:tcW w:type="dxa" w:w="1440"/>
          </w:tcPr>
          <w:p>
            <w:pPr>
              <w:spacing w:after="0"/>
              <w:jc w:val="right"/>
            </w:pPr>
            <w:r/>
            <w:r>
              <w:rPr>
                <w:b w:val="0"/>
                <w:sz w:val="18"/>
              </w:rPr>
              <w:t>42.6</w:t>
            </w:r>
          </w:p>
        </w:tc>
        <w:tc>
          <w:tcPr>
            <w:tcW w:type="dxa" w:w="1440"/>
          </w:tcPr>
          <w:p>
            <w:pPr>
              <w:spacing w:after="0"/>
              <w:jc w:val="right"/>
            </w:pPr>
            <w:r/>
            <w:r>
              <w:rPr>
                <w:b w:val="0"/>
                <w:sz w:val="18"/>
              </w:rPr>
              <w:t>1.73%</w:t>
            </w:r>
          </w:p>
        </w:tc>
        <w:tc>
          <w:tcPr>
            <w:tcW w:type="dxa" w:w="1440"/>
          </w:tcPr>
          <w:p>
            <w:pPr>
              <w:spacing w:after="0"/>
              <w:jc w:val="right"/>
            </w:pPr>
            <w:r/>
            <w:r>
              <w:rPr>
                <w:b w:val="0"/>
                <w:sz w:val="18"/>
              </w:rPr>
              <w:t>0.9977</w:t>
            </w:r>
          </w:p>
        </w:tc>
      </w:tr>
      <w:tr>
        <w:tc>
          <w:tcPr>
            <w:tcW w:type="dxa" w:w="4896"/>
            <w:shd w:val="clear" w:color="auto" w:fill="F5F8F8"/>
          </w:tcPr>
          <w:p>
            <w:pPr>
              <w:spacing w:after="0"/>
            </w:pPr>
            <w:r/>
            <w:r>
              <w:rPr>
                <w:b w:val="0"/>
                <w:sz w:val="18"/>
              </w:rPr>
              <w:t>- date-level market_index</w:t>
            </w:r>
          </w:p>
        </w:tc>
        <w:tc>
          <w:tcPr>
            <w:tcW w:type="dxa" w:w="1440"/>
            <w:shd w:val="clear" w:color="auto" w:fill="F5F8F8"/>
          </w:tcPr>
          <w:p>
            <w:pPr>
              <w:spacing w:after="0"/>
              <w:jc w:val="right"/>
            </w:pPr>
            <w:r/>
            <w:r>
              <w:rPr>
                <w:b w:val="0"/>
                <w:sz w:val="18"/>
              </w:rPr>
              <w:t>37.9</w:t>
            </w:r>
          </w:p>
        </w:tc>
        <w:tc>
          <w:tcPr>
            <w:tcW w:type="dxa" w:w="1440"/>
            <w:shd w:val="clear" w:color="auto" w:fill="F5F8F8"/>
          </w:tcPr>
          <w:p>
            <w:pPr>
              <w:spacing w:after="0"/>
              <w:jc w:val="right"/>
            </w:pPr>
            <w:r/>
            <w:r>
              <w:rPr>
                <w:b w:val="0"/>
                <w:sz w:val="18"/>
              </w:rPr>
              <w:t>1.56%</w:t>
            </w:r>
          </w:p>
        </w:tc>
        <w:tc>
          <w:tcPr>
            <w:tcW w:type="dxa" w:w="1440"/>
            <w:shd w:val="clear" w:color="auto" w:fill="F5F8F8"/>
          </w:tcPr>
          <w:p>
            <w:pPr>
              <w:spacing w:after="0"/>
              <w:jc w:val="right"/>
            </w:pPr>
            <w:r/>
            <w:r>
              <w:rPr>
                <w:b w:val="0"/>
                <w:sz w:val="18"/>
              </w:rPr>
              <w:t>0.9981</w:t>
            </w:r>
          </w:p>
        </w:tc>
      </w:tr>
      <w:tr>
        <w:tc>
          <w:tcPr>
            <w:tcW w:type="dxa" w:w="4896"/>
          </w:tcPr>
          <w:p>
            <w:pPr>
              <w:spacing w:after="0"/>
            </w:pPr>
            <w:r/>
            <w:r>
              <w:rPr>
                <w:b w:val="0"/>
                <w:sz w:val="18"/>
              </w:rPr>
              <w:t>- row-level quote_signal</w:t>
            </w:r>
          </w:p>
        </w:tc>
        <w:tc>
          <w:tcPr>
            <w:tcW w:type="dxa" w:w="1440"/>
          </w:tcPr>
          <w:p>
            <w:pPr>
              <w:spacing w:after="0"/>
              <w:jc w:val="right"/>
            </w:pPr>
            <w:r/>
            <w:r>
              <w:rPr>
                <w:b w:val="0"/>
                <w:sz w:val="18"/>
              </w:rPr>
              <w:t>37.6</w:t>
            </w:r>
          </w:p>
        </w:tc>
        <w:tc>
          <w:tcPr>
            <w:tcW w:type="dxa" w:w="1440"/>
          </w:tcPr>
          <w:p>
            <w:pPr>
              <w:spacing w:after="0"/>
              <w:jc w:val="right"/>
            </w:pPr>
            <w:r/>
            <w:r>
              <w:rPr>
                <w:b w:val="0"/>
                <w:sz w:val="18"/>
              </w:rPr>
              <w:t>1.60%</w:t>
            </w:r>
          </w:p>
        </w:tc>
        <w:tc>
          <w:tcPr>
            <w:tcW w:type="dxa" w:w="1440"/>
          </w:tcPr>
          <w:p>
            <w:pPr>
              <w:spacing w:after="0"/>
              <w:jc w:val="right"/>
            </w:pPr>
            <w:r/>
            <w:r>
              <w:rPr>
                <w:b w:val="0"/>
                <w:sz w:val="18"/>
              </w:rPr>
              <w:t>0.9984</w:t>
            </w:r>
          </w:p>
        </w:tc>
      </w:tr>
      <w:tr>
        <w:tc>
          <w:tcPr>
            <w:tcW w:type="dxa" w:w="4896"/>
            <w:shd w:val="clear" w:color="auto" w:fill="F5F8F8"/>
          </w:tcPr>
          <w:p>
            <w:pPr>
              <w:spacing w:after="0"/>
            </w:pPr>
            <w:r/>
            <w:r>
              <w:rPr>
                <w:b w:val="0"/>
                <w:sz w:val="18"/>
              </w:rPr>
              <w:t>- weight</w:t>
            </w:r>
          </w:p>
        </w:tc>
        <w:tc>
          <w:tcPr>
            <w:tcW w:type="dxa" w:w="1440"/>
            <w:shd w:val="clear" w:color="auto" w:fill="F5F8F8"/>
          </w:tcPr>
          <w:p>
            <w:pPr>
              <w:spacing w:after="0"/>
              <w:jc w:val="right"/>
            </w:pPr>
            <w:r/>
            <w:r>
              <w:rPr>
                <w:b w:val="0"/>
                <w:sz w:val="18"/>
              </w:rPr>
              <w:t>51.9</w:t>
            </w:r>
          </w:p>
        </w:tc>
        <w:tc>
          <w:tcPr>
            <w:tcW w:type="dxa" w:w="1440"/>
            <w:shd w:val="clear" w:color="auto" w:fill="F5F8F8"/>
          </w:tcPr>
          <w:p>
            <w:pPr>
              <w:spacing w:after="0"/>
              <w:jc w:val="right"/>
            </w:pPr>
            <w:r/>
            <w:r>
              <w:rPr>
                <w:b w:val="0"/>
                <w:sz w:val="18"/>
              </w:rPr>
              <w:t>2.20%</w:t>
            </w:r>
          </w:p>
        </w:tc>
        <w:tc>
          <w:tcPr>
            <w:tcW w:type="dxa" w:w="1440"/>
            <w:shd w:val="clear" w:color="auto" w:fill="F5F8F8"/>
          </w:tcPr>
          <w:p>
            <w:pPr>
              <w:spacing w:after="0"/>
              <w:jc w:val="right"/>
            </w:pPr>
            <w:r/>
            <w:r>
              <w:rPr>
                <w:b w:val="0"/>
                <w:sz w:val="18"/>
              </w:rPr>
              <w:t>0.9961</w:t>
            </w:r>
          </w:p>
        </w:tc>
      </w:tr>
    </w:tbl>
    <w:p>
      <w:pPr>
        <w:spacing w:after="40"/>
      </w:pPr>
    </w:p>
    <w:p>
      <w:pPr>
        <w:spacing w:after="120"/>
      </w:pPr>
      <w:r>
        <w:rPr>
          <w:i w:val="0"/>
          <w:sz w:val="19"/>
        </w:rPr>
        <w:t>Row-level quote_signal and date-level market_index contribute nothing measurable (differences within fold noise); they are kept because removing them is not an improvement either. The 28-day ramp length was set from the daily residuals; forward MAE is 37.8 at 28 days and stays between 36.9 and 40.4 for 21-42 days, so the result is only mildly sensitive to it (within about 10%).</w:t>
      </w:r>
    </w:p>
    <w:p>
      <w:pPr>
        <w:pStyle w:val="Heading1"/>
      </w:pPr>
      <w:r>
        <w:rPr>
          <w:rFonts w:ascii="Calibri" w:hAnsi="Calibri"/>
          <w:color w:val="064A56"/>
        </w:rPr>
        <w:t>6. Fixed December 2025 prediction chart</w:t>
      </w:r>
    </w:p>
    <w:p>
      <w:pPr>
        <w:spacing w:after="120"/>
      </w:pPr>
      <w:r>
        <w:rPr>
          <w:i w:val="0"/>
        </w:rPr>
        <w:t>The chart below is produced by the provided score.py from data/december_chart_inputs.csv (Lexington to Fort Wayne, 360 miles, Dry Van, 32,000 lb; only the date changes). Those rows carry no market signals, so they are taken from the other December loads in validation.csv on the same day (features only, never labels): the day's median market_index and the day's mean Dry Van quote_signal.</w:t>
      </w:r>
    </w:p>
    <w:p>
      <w:pPr>
        <w:jc w:val="center"/>
      </w:pPr>
      <w:r>
        <w:drawing>
          <wp:inline xmlns:a="http://schemas.openxmlformats.org/drawingml/2006/main" xmlns:pic="http://schemas.openxmlformats.org/drawingml/2006/picture">
            <wp:extent cx="5852160" cy="1906063"/>
            <wp:docPr id="5" name="Picture 5"/>
            <wp:cNvGraphicFramePr>
              <a:graphicFrameLocks noChangeAspect="1"/>
            </wp:cNvGraphicFramePr>
            <a:graphic>
              <a:graphicData uri="http://schemas.openxmlformats.org/drawingml/2006/picture">
                <pic:pic>
                  <pic:nvPicPr>
                    <pic:cNvPr id="0" name="candidate_december.png"/>
                    <pic:cNvPicPr/>
                  </pic:nvPicPr>
                  <pic:blipFill>
                    <a:blip r:embed="rId13"/>
                    <a:stretch>
                      <a:fillRect/>
                    </a:stretch>
                  </pic:blipFill>
                  <pic:spPr>
                    <a:xfrm>
                      <a:off x="0" y="0"/>
                      <a:ext cx="5852160" cy="1906063"/>
                    </a:xfrm>
                    <a:prstGeom prst="rect"/>
                  </pic:spPr>
                </pic:pic>
              </a:graphicData>
            </a:graphic>
          </wp:inline>
        </w:drawing>
      </w:r>
    </w:p>
    <w:p>
      <w:pPr>
        <w:jc w:val="center"/>
      </w:pPr>
      <w:r>
        <w:rPr>
          <w:i/>
          <w:color w:val="455A60"/>
          <w:sz w:val="17"/>
        </w:rPr>
        <w:t>Figure 5. candidate_december.png, produced by score.py.</w:t>
      </w:r>
    </w:p>
    <w:p>
      <w:pPr>
        <w:spacing w:after="120"/>
      </w:pPr>
      <w:r>
        <w:rPr>
          <w:i w:val="0"/>
        </w:rPr>
        <w:t>The predicted rate runs from $824 to $882 (about $2.36 per mile). Two effects are visible: a weekly cycle from the market index (softest on Sundays), and a rising ramp from early December to the quarter end, on top of the slow trend. For reference, the 21 clean historical Lexington to Fort Wayne Dry Van loads averaged $823 ($2.26 per mile), so the forecast is consistent with the lane's history.</w:t>
      </w:r>
    </w:p>
    <w:p>
      <w:pPr>
        <w:pStyle w:val="Heading1"/>
      </w:pPr>
      <w:r>
        <w:rPr>
          <w:rFonts w:ascii="Calibri" w:hAnsi="Calibri"/>
          <w:color w:val="064A56"/>
        </w:rPr>
        <w:t>7. Limitations</w:t>
      </w:r>
    </w:p>
    <w:p>
      <w:pPr>
        <w:pStyle w:val="ListBullet"/>
        <w:spacing w:after="40"/>
      </w:pPr>
      <w:r>
        <w:rPr>
          <w:b/>
        </w:rPr>
        <w:t>Extrapolation.</w:t>
      </w:r>
      <w:r>
        <w:t xml:space="preserve"> The trend and quarter-end ramp are learned from three quarters and extrapolated two months ahead. The same pattern appears in all three observed quarters, and the calendar terms improved two of the three forward folds (Jul-Aug was slightly worse than the model without them), but December-specific effects (holiday demand, year-end) cannot be learned from January-October data.</w:t>
      </w:r>
    </w:p>
    <w:p>
      <w:pPr>
        <w:pStyle w:val="ListBullet"/>
        <w:spacing w:after="40"/>
      </w:pPr>
      <w:r>
        <w:rPr>
          <w:b/>
        </w:rPr>
        <w:t>Corrupted labels in the hidden set.</w:t>
      </w:r>
      <w:r>
        <w:t xml:space="preserve"> Validation labels probably contain the same ~1.4% corrupted rows. No model can predict them, so squared-error metrics on the hidden labels will be dominated by them; median-type metrics are far less affected.</w:t>
      </w:r>
    </w:p>
    <w:p>
      <w:pPr>
        <w:pStyle w:val="ListBullet"/>
        <w:spacing w:after="40"/>
      </w:pPr>
      <w:r>
        <w:rPr>
          <w:b/>
        </w:rPr>
        <w:t>Estimates.</w:t>
      </w:r>
      <w:r>
        <w:t xml:space="preserve"> Final metrics are computed by the assessor after submission; the figures here are validation estimates.</w:t>
      </w:r>
    </w:p>
    <w:p>
      <w:pPr>
        <w:pStyle w:val="Heading1"/>
      </w:pPr>
      <w:r>
        <w:rPr>
          <w:rFonts w:ascii="Calibri" w:hAnsi="Calibri"/>
          <w:color w:val="064A56"/>
        </w:rPr>
        <w:t>8. Reproducing the results</w:t>
      </w:r>
    </w:p>
    <w:p>
      <w:pPr>
        <w:spacing w:after="20"/>
      </w:pPr>
      <w:r>
        <w:rPr>
          <w:rFonts w:ascii="Consolas" w:hAnsi="Consolas"/>
          <w:sz w:val="18"/>
        </w:rPr>
        <w:t>python -m pip install -r requirements.txt</w:t>
      </w:r>
    </w:p>
    <w:p>
      <w:pPr>
        <w:spacing w:after="20"/>
      </w:pPr>
      <w:r>
        <w:rPr>
          <w:rFonts w:ascii="Consolas" w:hAnsi="Consolas"/>
          <w:sz w:val="18"/>
        </w:rPr>
        <w:t>python scripts/run_final.py      # trains, writes validation_predictions.csv and fills data/december_chart_inputs.csv</w:t>
      </w:r>
    </w:p>
    <w:p>
      <w:pPr>
        <w:spacing w:after="20"/>
      </w:pPr>
      <w:r>
        <w:rPr>
          <w:rFonts w:ascii="Consolas" w:hAnsi="Consolas"/>
          <w:sz w:val="18"/>
        </w:rPr>
        <w:t>python score.py --predictions validation_predictions.csv --december-predictions data/december_chart_inputs.csv</w:t>
      </w:r>
    </w:p>
    <w:p>
      <w:pPr>
        <w:spacing w:after="20"/>
      </w:pPr>
      <w:r>
        <w:rPr>
          <w:rFonts w:ascii="Consolas" w:hAnsi="Consolas"/>
          <w:sz w:val="18"/>
        </w:rPr>
        <w:t>python scripts/run_validation.py # optional: regenerates every validation table (about 10 minutes)</w:t>
      </w:r>
    </w:p>
    <w:p>
      <w:pPr>
        <w:spacing w:after="20"/>
      </w:pPr>
      <w:r>
        <w:rPr>
          <w:rFonts w:ascii="Consolas" w:hAnsi="Consolas"/>
          <w:sz w:val="18"/>
        </w:rPr>
        <w:t>python scripts/run_eda.py &amp;&amp; python scripts/build_report.py   # optional: figures and this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