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2A230" w14:textId="77777777" w:rsidR="004317D0" w:rsidRDefault="004317D0" w:rsidP="004317D0">
      <w:pPr>
        <w:pStyle w:val="NormalWeb"/>
        <w:spacing w:before="0" w:beforeAutospacing="0" w:after="0" w:afterAutospacing="0"/>
        <w:ind w:left="2160" w:firstLine="720"/>
      </w:pPr>
      <w:r>
        <w:rPr>
          <w:rFonts w:ascii="Calibri" w:hAnsi="Calibri" w:cs="Calibri"/>
          <w:b/>
          <w:bCs/>
          <w:color w:val="000000"/>
          <w:sz w:val="56"/>
          <w:szCs w:val="56"/>
        </w:rPr>
        <w:t> </w:t>
      </w:r>
      <w:r>
        <w:rPr>
          <w:rFonts w:ascii="Calibri" w:hAnsi="Calibri" w:cs="Calibri"/>
          <w:b/>
          <w:bCs/>
          <w:color w:val="000000"/>
          <w:sz w:val="72"/>
          <w:szCs w:val="72"/>
          <w:u w:val="single"/>
        </w:rPr>
        <w:t>ABSTRACT </w:t>
      </w:r>
    </w:p>
    <w:p w14:paraId="6324CA27" w14:textId="77777777" w:rsidR="004317D0" w:rsidRDefault="004317D0" w:rsidP="004317D0">
      <w:pPr>
        <w:pStyle w:val="NormalWeb"/>
        <w:spacing w:before="0" w:beforeAutospacing="0" w:after="160" w:afterAutospacing="0"/>
        <w:jc w:val="center"/>
      </w:pPr>
      <w:r>
        <w:rPr>
          <w:rFonts w:ascii="Calibri" w:hAnsi="Calibri" w:cs="Calibri"/>
          <w:color w:val="4472C4"/>
          <w:sz w:val="48"/>
          <w:szCs w:val="48"/>
        </w:rPr>
        <w:t xml:space="preserve">APSSDC DATA ANALYSIS with PYTHON </w:t>
      </w:r>
    </w:p>
    <w:p w14:paraId="156C1549" w14:textId="77777777" w:rsidR="00DC44E8" w:rsidRDefault="004317D0">
      <w:pPr>
        <w:rPr>
          <w:color w:val="FF0000"/>
          <w:sz w:val="36"/>
          <w:szCs w:val="36"/>
          <w:lang w:val="en-US"/>
        </w:rPr>
      </w:pPr>
      <w:r w:rsidRPr="004317D0">
        <w:rPr>
          <w:color w:val="FF0000"/>
          <w:sz w:val="36"/>
          <w:szCs w:val="36"/>
          <w:lang w:val="en-US"/>
        </w:rPr>
        <w:t>Analysis on Comprehensive Company Data on 2022 Fortune 1000</w:t>
      </w:r>
    </w:p>
    <w:p w14:paraId="6E794033" w14:textId="77777777" w:rsidR="004317D0" w:rsidRDefault="004317D0">
      <w:pPr>
        <w:rPr>
          <w:color w:val="FF0000"/>
          <w:sz w:val="36"/>
          <w:szCs w:val="36"/>
          <w:lang w:val="en-US"/>
        </w:rPr>
      </w:pPr>
    </w:p>
    <w:p w14:paraId="3CA0C496" w14:textId="77777777" w:rsidR="004317D0" w:rsidRPr="004317D0" w:rsidRDefault="004317D0" w:rsidP="004317D0">
      <w:pPr>
        <w:pStyle w:val="Heading2"/>
        <w:shd w:val="clear" w:color="auto" w:fill="FFFFFF" w:themeFill="background1"/>
        <w:ind w:left="306" w:right="369"/>
        <w:rPr>
          <w:b w:val="0"/>
          <w:color w:val="auto"/>
          <w:sz w:val="32"/>
          <w:szCs w:val="32"/>
        </w:rPr>
      </w:pPr>
      <w:r w:rsidRPr="004317D0">
        <w:rPr>
          <w:sz w:val="32"/>
          <w:szCs w:val="32"/>
        </w:rPr>
        <w:t>ABSTRACT</w:t>
      </w:r>
      <w:r w:rsidRPr="004317D0">
        <w:rPr>
          <w:b w:val="0"/>
          <w:sz w:val="32"/>
          <w:szCs w:val="32"/>
        </w:rPr>
        <w:t xml:space="preserve"> </w:t>
      </w:r>
    </w:p>
    <w:p w14:paraId="7EA2833C" w14:textId="77777777" w:rsidR="004317D0" w:rsidRPr="004317D0" w:rsidRDefault="004317D0" w:rsidP="004317D0">
      <w:pPr>
        <w:rPr>
          <w:color w:val="000000"/>
          <w:sz w:val="32"/>
          <w:szCs w:val="32"/>
        </w:rPr>
      </w:pPr>
      <w:r w:rsidRPr="004317D0">
        <w:rPr>
          <w:sz w:val="32"/>
          <w:szCs w:val="32"/>
        </w:rPr>
        <w:t>This abstract provides an overview of an analysis conducted on comprehensive company data from the 2022 Fortune 1000 list. The analysis delves into key trends, sector-specific insights, and implications for the broader business landscape.</w:t>
      </w:r>
    </w:p>
    <w:p w14:paraId="3B917F58" w14:textId="77777777" w:rsidR="004317D0" w:rsidRPr="004317D0" w:rsidRDefault="004317D0" w:rsidP="004317D0">
      <w:pPr>
        <w:rPr>
          <w:sz w:val="32"/>
          <w:szCs w:val="32"/>
        </w:rPr>
      </w:pPr>
    </w:p>
    <w:p w14:paraId="57CF3832" w14:textId="77777777" w:rsidR="004317D0" w:rsidRPr="004317D0" w:rsidRDefault="004317D0" w:rsidP="004317D0">
      <w:pPr>
        <w:rPr>
          <w:sz w:val="32"/>
          <w:szCs w:val="32"/>
        </w:rPr>
      </w:pPr>
      <w:r w:rsidRPr="004317D0">
        <w:rPr>
          <w:sz w:val="32"/>
          <w:szCs w:val="32"/>
        </w:rPr>
        <w:t>In 2022, the Fortune 1000 list presented a snapshot of the most influential publicly traded companies in the United States, encompassing diverse industries and sectors. This analysis aimed to uncover underlying patterns and developments within these corporations, shedding light on their performance, strategies, and potential future trajectories.</w:t>
      </w:r>
    </w:p>
    <w:p w14:paraId="43ABBF37" w14:textId="77777777" w:rsidR="004317D0" w:rsidRPr="004317D0" w:rsidRDefault="004317D0" w:rsidP="004317D0">
      <w:pPr>
        <w:rPr>
          <w:sz w:val="32"/>
          <w:szCs w:val="32"/>
        </w:rPr>
      </w:pPr>
    </w:p>
    <w:p w14:paraId="2ED36DC9" w14:textId="77777777" w:rsidR="004317D0" w:rsidRPr="004317D0" w:rsidRDefault="004317D0" w:rsidP="004317D0">
      <w:pPr>
        <w:rPr>
          <w:sz w:val="32"/>
          <w:szCs w:val="32"/>
        </w:rPr>
      </w:pPr>
      <w:r w:rsidRPr="004317D0">
        <w:rPr>
          <w:sz w:val="32"/>
          <w:szCs w:val="32"/>
        </w:rPr>
        <w:t>The analysis began by examining revenue trends, identifying shifts in top-line figures across industries. It became evident that technology-driven sectors continued to dominate, with companies in software, e-commerce, and cloud services experiencing exponential growth. Moreover, traditional sectors like healthcare and energy displayed adaptability through innovation and mergers, redefining their roles in a rapidly evolving market.</w:t>
      </w:r>
    </w:p>
    <w:p w14:paraId="00277278" w14:textId="77777777" w:rsidR="004317D0" w:rsidRPr="004317D0" w:rsidRDefault="004317D0" w:rsidP="004317D0">
      <w:pPr>
        <w:rPr>
          <w:sz w:val="32"/>
          <w:szCs w:val="32"/>
        </w:rPr>
      </w:pPr>
    </w:p>
    <w:p w14:paraId="045F0CC9" w14:textId="77777777" w:rsidR="004317D0" w:rsidRPr="004317D0" w:rsidRDefault="004317D0" w:rsidP="004317D0">
      <w:pPr>
        <w:rPr>
          <w:sz w:val="32"/>
          <w:szCs w:val="32"/>
        </w:rPr>
      </w:pPr>
      <w:r w:rsidRPr="004317D0">
        <w:rPr>
          <w:sz w:val="32"/>
          <w:szCs w:val="32"/>
        </w:rPr>
        <w:lastRenderedPageBreak/>
        <w:t>A deeper exploration of financial data highlighted the significance of profitability and efficiency. The analysis revealed that companies prioritizing digital transformation and operational optimization tended to outperform peers. This underscored the importance of embracing technological advancements for sustained success in a highly competitive environment.</w:t>
      </w:r>
    </w:p>
    <w:p w14:paraId="4D7A2E6C" w14:textId="77777777" w:rsidR="004317D0" w:rsidRPr="004317D0" w:rsidRDefault="004317D0" w:rsidP="004317D0">
      <w:pPr>
        <w:rPr>
          <w:sz w:val="32"/>
          <w:szCs w:val="32"/>
        </w:rPr>
      </w:pPr>
    </w:p>
    <w:p w14:paraId="6353BE4F" w14:textId="77777777" w:rsidR="004317D0" w:rsidRPr="004317D0" w:rsidRDefault="004317D0" w:rsidP="004317D0">
      <w:pPr>
        <w:rPr>
          <w:sz w:val="32"/>
          <w:szCs w:val="32"/>
        </w:rPr>
      </w:pPr>
      <w:r w:rsidRPr="004317D0">
        <w:rPr>
          <w:sz w:val="32"/>
          <w:szCs w:val="32"/>
        </w:rPr>
        <w:t>Diving into workforce dynamics, the analysis uncovered a dual focus on employee well-being and talent acquisition. Companies championing diversity, equity, and inclusion initiatives showcased stronger resilience, while those investing in upskilling and remote work infrastructure navigated the challenges posed by the ongoing global pandemic more effectively.</w:t>
      </w:r>
    </w:p>
    <w:p w14:paraId="1EB8C4ED" w14:textId="77777777" w:rsidR="004317D0" w:rsidRPr="004317D0" w:rsidRDefault="004317D0" w:rsidP="004317D0">
      <w:pPr>
        <w:rPr>
          <w:sz w:val="32"/>
          <w:szCs w:val="32"/>
        </w:rPr>
      </w:pPr>
    </w:p>
    <w:p w14:paraId="316784FA" w14:textId="77777777" w:rsidR="004317D0" w:rsidRPr="004317D0" w:rsidRDefault="004317D0" w:rsidP="004317D0">
      <w:pPr>
        <w:rPr>
          <w:sz w:val="32"/>
          <w:szCs w:val="32"/>
        </w:rPr>
      </w:pPr>
      <w:r w:rsidRPr="004317D0">
        <w:rPr>
          <w:sz w:val="32"/>
          <w:szCs w:val="32"/>
        </w:rPr>
        <w:t xml:space="preserve">Sector-specific analyses provided nuanced insights into industry challenges and triumphs. For instance, the automotive sector faced supply chain disruptions, prompting a renewed emphasis on localized sourcing and sustainability. In contrast, renewable energy companies seized opportunities arising from increased environmental awareness and </w:t>
      </w:r>
      <w:proofErr w:type="spellStart"/>
      <w:r w:rsidRPr="004317D0">
        <w:rPr>
          <w:sz w:val="32"/>
          <w:szCs w:val="32"/>
        </w:rPr>
        <w:t>favorable</w:t>
      </w:r>
      <w:proofErr w:type="spellEnd"/>
      <w:r w:rsidRPr="004317D0">
        <w:rPr>
          <w:sz w:val="32"/>
          <w:szCs w:val="32"/>
        </w:rPr>
        <w:t xml:space="preserve"> policy shifts.</w:t>
      </w:r>
    </w:p>
    <w:p w14:paraId="6B652C3B" w14:textId="77777777" w:rsidR="004317D0" w:rsidRPr="004317D0" w:rsidRDefault="004317D0" w:rsidP="004317D0">
      <w:pPr>
        <w:rPr>
          <w:sz w:val="32"/>
          <w:szCs w:val="32"/>
        </w:rPr>
      </w:pPr>
    </w:p>
    <w:p w14:paraId="235EC33B" w14:textId="77777777" w:rsidR="004317D0" w:rsidRPr="004317D0" w:rsidRDefault="004317D0" w:rsidP="004317D0">
      <w:pPr>
        <w:rPr>
          <w:sz w:val="32"/>
          <w:szCs w:val="32"/>
        </w:rPr>
      </w:pPr>
      <w:r w:rsidRPr="004317D0">
        <w:rPr>
          <w:sz w:val="32"/>
          <w:szCs w:val="32"/>
        </w:rPr>
        <w:t>The implications of the analysis are multifaceted. It underscores the importance of agility and innovation, regardless of industry, as critical drivers of success. Moreover, the findings highlight the need for a holistic approach to business that balances financial growth with social responsibility and employee well-being.</w:t>
      </w:r>
    </w:p>
    <w:p w14:paraId="05746237" w14:textId="77777777" w:rsidR="004317D0" w:rsidRPr="004317D0" w:rsidRDefault="004317D0" w:rsidP="004317D0">
      <w:pPr>
        <w:rPr>
          <w:sz w:val="32"/>
          <w:szCs w:val="32"/>
        </w:rPr>
      </w:pPr>
    </w:p>
    <w:p w14:paraId="5CE878CC" w14:textId="77777777" w:rsidR="004317D0" w:rsidRPr="004317D0" w:rsidRDefault="004317D0" w:rsidP="004317D0">
      <w:pPr>
        <w:rPr>
          <w:sz w:val="32"/>
          <w:szCs w:val="32"/>
        </w:rPr>
      </w:pPr>
      <w:r w:rsidRPr="004317D0">
        <w:rPr>
          <w:sz w:val="32"/>
          <w:szCs w:val="32"/>
        </w:rPr>
        <w:t xml:space="preserve">In conclusion, the analysis of comprehensive company data from the 2022 Fortune 1000 list illuminates the evolving landscape of corporate America. It demonstrates the pivotal role of technology, </w:t>
      </w:r>
      <w:r w:rsidRPr="004317D0">
        <w:rPr>
          <w:sz w:val="32"/>
          <w:szCs w:val="32"/>
        </w:rPr>
        <w:lastRenderedPageBreak/>
        <w:t>adaptability, and strategic foresight in shaping the success of these prominent companies. The insights gleaned from this analysis contribute to a deeper understanding of the forces driving business transformation in the 21st century.</w:t>
      </w:r>
    </w:p>
    <w:p w14:paraId="5D6F1960" w14:textId="77777777" w:rsidR="004317D0" w:rsidRPr="004317D0" w:rsidRDefault="004317D0">
      <w:pPr>
        <w:rPr>
          <w:color w:val="FF0000"/>
          <w:sz w:val="36"/>
          <w:szCs w:val="36"/>
        </w:rPr>
      </w:pPr>
    </w:p>
    <w:sectPr w:rsidR="004317D0" w:rsidRPr="00431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7D0"/>
    <w:rsid w:val="004317D0"/>
    <w:rsid w:val="00DC4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6068"/>
  <w15:chartTrackingRefBased/>
  <w15:docId w15:val="{60AEC5AC-59CB-48A6-80F6-5E00ADE2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4317D0"/>
    <w:pPr>
      <w:keepNext/>
      <w:keepLines/>
      <w:spacing w:after="408" w:line="264" w:lineRule="auto"/>
      <w:ind w:left="486" w:hanging="10"/>
      <w:jc w:val="center"/>
      <w:outlineLvl w:val="1"/>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7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4317D0"/>
    <w:rPr>
      <w:rFonts w:ascii="Times New Roman" w:eastAsia="Times New Roman" w:hAnsi="Times New Roman" w:cs="Times New Roman"/>
      <w:b/>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4644">
      <w:bodyDiv w:val="1"/>
      <w:marLeft w:val="0"/>
      <w:marRight w:val="0"/>
      <w:marTop w:val="0"/>
      <w:marBottom w:val="0"/>
      <w:divBdr>
        <w:top w:val="none" w:sz="0" w:space="0" w:color="auto"/>
        <w:left w:val="none" w:sz="0" w:space="0" w:color="auto"/>
        <w:bottom w:val="none" w:sz="0" w:space="0" w:color="auto"/>
        <w:right w:val="none" w:sz="0" w:space="0" w:color="auto"/>
      </w:divBdr>
    </w:div>
    <w:div w:id="151410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baladithya2003@gmail.com</dc:creator>
  <cp:keywords/>
  <dc:description/>
  <cp:lastModifiedBy>baladithya2003@gmail.com</cp:lastModifiedBy>
  <cp:revision>1</cp:revision>
  <dcterms:created xsi:type="dcterms:W3CDTF">2023-08-25T13:00:00Z</dcterms:created>
  <dcterms:modified xsi:type="dcterms:W3CDTF">2023-08-25T13:02:00Z</dcterms:modified>
</cp:coreProperties>
</file>