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b/>
          <w:color w:val="auto"/>
          <w:spacing w:val="0"/>
          <w:position w:val="0"/>
          <w:sz w:val="4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List me other halal gold bees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of August 2025, In India , we are aware of only one Shariah compliant Gold Bee which is Nippon India ETF Gold BeES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Give examples of Gold-Backed Sukuk</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Reserve Sukuk</w:t>
        <w:tab/>
        <w:t xml:space="preserve">Dubai, UAE</w:t>
        <w:tab/>
        <w:t xml:space="preserve">Available via Tabarak Investment Bank in DIFC; purchase through authorized brokers or directly on NASDAQ Dubai</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Turkish Government Gold-Backed Sukuk</w:t>
        <w:tab/>
        <w:t xml:space="preserve">Turkey</w:t>
        <w:tab/>
        <w:t xml:space="preserve">Purchased through Turkish government auctions via authorized Turkish banks like Ziraat Bank and Vak</w:t>
      </w:r>
      <w:r>
        <w:rPr>
          <w:rFonts w:ascii="Arial" w:hAnsi="Arial" w:cs="Arial" w:eastAsia="Arial"/>
          <w:color w:val="auto"/>
          <w:spacing w:val="0"/>
          <w:position w:val="0"/>
          <w:sz w:val="24"/>
          <w:shd w:fill="auto" w:val="clear"/>
        </w:rPr>
        <w:t xml:space="preserve">ı</w:t>
      </w:r>
      <w:r>
        <w:rPr>
          <w:rFonts w:ascii="Calibri" w:hAnsi="Calibri" w:cs="Calibri" w:eastAsia="Calibri"/>
          <w:color w:val="auto"/>
          <w:spacing w:val="0"/>
          <w:position w:val="0"/>
          <w:sz w:val="24"/>
          <w:shd w:fill="auto" w:val="clear"/>
        </w:rPr>
        <w:t xml:space="preserve">fBank during public issuances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GCC Sovereign &amp; Corporate Gold-Backed Sukuk</w:t>
        <w:tab/>
        <w:t xml:space="preserve">Saudi Arabia, UAE, Bahrain (GCC)</w:t>
        <w:tab/>
        <w:t xml:space="preserve">Available via public auctions or institutional placements through respective government finance ministries or authorized financial institutions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Commodity Sukuk with Gold Exposure (Funds)</w:t>
        <w:tab/>
        <w:t xml:space="preserve">Malaysia, Middle East</w:t>
        <w:tab/>
        <w:t xml:space="preserve">Available through Islamic asset management companies offering sukuk funds with exposure to gold commodities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Gold Reserve Sukuk?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Reserve Sukuk (GRS) is the first gold-backed Islamic bond in the Islamic finance industry, designed to empower investors to invest in physical gold through a robust Shariah-compliant structure. It guarantees full ownership and traceability of physical gold, which is held outside the traditional banking system in secure vaults operated by the Dubai Multi Commodities Centre (DMCC) with the highest global security standards. Investors receive certificates representing ownership of allocated physical gold bars, with no issuer or counterparty risk since the gold is held independently and is fully segregated. The sukuk has no maturity date, its returns depend solely on the value of the underlying gold, and investors can redeem their certificates for cash or physical delivery of the gold at any time. The Gold Reserve Sukuk is tradable on NASDAQ Dubai, providing liquidity and access to a secure, Shariah-compliant gold investment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Gold Reserve Sukuk and how does it benefit a beginner investor in terms of Shariah compliance, security, tradability, and access to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Reserve Sukuk is a Shariah-compliant Islamic bond fully backed by physical gold stored outside the traditional banking system in DMCC vaults in Dubai, offering beginner investors transparent ownership, protection from issuer and counterparty risks, tradability on NASDAQ Dubai, and the ability to redeem certificates for physical gold or cash.</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Who certifies the Shariah compliance of the Gold Reserve Sukuk?</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Reserve Sukuk is overseen and regularly audited for Shariah compliance by a dedicated board comprised of prominent scholars such as Sheikh Essam Ishaq, Dr. Mohammed Elgari, and Dr. Mohammed Daud Bakar.</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is the physical gold backing the Gold Reserve Sukuk secured and what purity standards does it meet?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physical gold supporting the Gold Reserve Sukuk is stored in secure vaults operated by Brink’s at DMCC in Dubai, sourced from approved international bullion suppliers, and meets rigorous purity standards of 99.95% to 99.99%, with traceable serial numbers.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options do Gold Reserve Sukuk holders have for redeeming their investment?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Reserve Sukuk holders can redeem their certificates for cash or have physical gold delivered anywhere in the world, with the process managed by the custodian without diluting other investors’ rights.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makes the Gold Reserve Sukuk a competitive choice and which investor profiles is it best suited for?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Reserve Sukuk offers efficient storage costs, global tradability, protection from banking risks, and direct Shariah-compliant gold ownership, making it an ideal solution for institutions, sovereign funds, central banks, high-net-worth individuals, and anyone seeking safe haven gold investment with total control over assets.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is the returns / yield / profit paid for the Gold backed sukuks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Reserve Sukuk (Dubai, UAE)</w:t>
        <w:tab/>
        <w:t xml:space="preserve">Yield is derived from the value appreciation of the underlying physical gold; no fixed periodic coupon yield is specified; investors benefit from price exposure and can redeem for gold or cash.</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Turkish Government Gold-Backed Sukuk</w:t>
        <w:tab/>
        <w:t xml:space="preserve">Pays semi-annual lease returns (yield) based on gold price indexed lease rentals, typically paid in local currency.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GCC Sovereign &amp; Corporate Gold-Backed Sukuk</w:t>
        <w:tab/>
        <w:t xml:space="preserve">Usually offers fixed or variable periodic yields (semi-annual or annual) based on the underlying leased assets, paid in local currency or USD depending on issuance terms.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Commodity Sukuk with Gold Exposure (Malaysia, Middle East)</w:t>
        <w:tab/>
        <w:t xml:space="preserve">Pays periodic profit distributions (quarterly, semi-annual, or annual) derived from the performance of commodity-backed assets including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 compliant products exactly like What is The DGCX Spot Gold contract in other markets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you are asking about a product exactly structured like the DGCX Spot Gold contract, there are no other identical offerings that I am aware of. However, you could explore products like:</w:t>
      </w:r>
    </w:p>
    <w:p>
      <w:pPr>
        <w:numPr>
          <w:ilvl w:val="0"/>
          <w:numId w:val="4"/>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Gold-based ETFs (Exchange Traded Funds)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physically backed by gold bars, listed on exchanges, and in some markets certified by Shariah boards.</w:t>
      </w:r>
    </w:p>
    <w:p>
      <w:pPr>
        <w:numPr>
          <w:ilvl w:val="0"/>
          <w:numId w:val="4"/>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Gold-backed ETCs (Exchange Traded Commodities)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securities tracking spot gold prices with physical backing, often held in professional vaults.</w:t>
      </w:r>
    </w:p>
    <w:p>
      <w:pPr>
        <w:numPr>
          <w:ilvl w:val="0"/>
          <w:numId w:val="4"/>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 Sukuks (Islamic Bonds linked to gold)</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structured to give exposure to gold returns while complying with Islamic finance rules.</w:t>
      </w:r>
    </w:p>
    <w:p>
      <w:pPr>
        <w:numPr>
          <w:ilvl w:val="0"/>
          <w:numId w:val="4"/>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Gold Savings Accounts (offered by Islamic banks)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accounts where deposits are backed by allocated physical gold rather than fiat.</w:t>
      </w:r>
    </w:p>
    <w:p>
      <w:pPr>
        <w:numPr>
          <w:ilvl w:val="0"/>
          <w:numId w:val="4"/>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Gold Certificates</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issued by Shariah-compliant banks, representing ownership of allocated gold held securely</w:t>
      </w:r>
    </w:p>
    <w:p>
      <w:pPr>
        <w:tabs>
          <w:tab w:val="left" w:pos="720" w:leader="none"/>
        </w:tabs>
        <w:spacing w:before="0" w:after="160" w:line="278"/>
        <w:ind w:right="0" w:left="0" w:firstLine="0"/>
        <w:jc w:val="left"/>
        <w:rPr>
          <w:rFonts w:ascii="Aptos" w:hAnsi="Aptos" w:cs="Aptos" w:eastAsia="Aptos"/>
          <w:b/>
          <w:color w:val="auto"/>
          <w:spacing w:val="0"/>
          <w:position w:val="0"/>
          <w:sz w:val="24"/>
          <w:shd w:fill="auto" w:val="clear"/>
        </w:rPr>
      </w:pP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O Gold (UAE)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 Gold (UAE) is the first Emirati app for fractional gold and silver ownership, offering secure and accessible transactions starting from just 1 dirham. O Gold is primarily designed for UAE investors but can be opened to international investors depending on regulatory compliance and platform policies. Prospective non-UAE investors should verify eligibility and requirements directly with O Gold.  It allows users to buy, sell, lease, and manage precious metals digitally with real-time pricing and full insurance. The platform partners with Emirates Gold refinery to provide certified gold products at refinery-direct rates, ensuring authenticity and quality. Investors can earn returns by leasing their gold holdings, with yields up to around 3% annually in gold grams, benchmarked against global gold lease rates. O Gold aims to democratize precious metals investment by integrating with popular fintech apps like Botim, making gold ownership simple, transparent, and Shariah-compliant for everyday users in the UAE and the wider region</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O Gold's investment platform fully Shariah-compliant and certified?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O Gold has received Shariah Compliance Certification from the Center of Islamic Banking and Economics (CIBE), confirming that its gold and silver trading, investment offerings, and Wakalah Gold Earnings returns follow the highest Islamic finance principles, including being asset-backed, interest-free, transparent, and free from any speculative practices.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does O Gold ensure that investments are halal and adhere to Islamic principles in terms of returns?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 Gold’s returns, branded as Wakalah Gold Earnings, are paid in physical gold rather than cash interest, ensuring profits are asset-based and halal. This structure avoids riba (interest) by providing returns through a Wakalah (agency) contract, where investors lease their gold and earn rental income consistent with Shariah law.</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Can investors participate in O Gold with small amounts, and how accessible is the investment for everyday Muslims?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O Gold allows fractional ownership starting from just 1 dirham (approximately 0.027 grams), lowering barriers for everyday investors to participate. This inclusivity combined with insured physical gold holdings and doorstep delivery options make it accessible, secure, and suitable for halal-conscious Muslim investors seeking ethical precious metal investment.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How reliable is O Gold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is some background information on reliability of O Gold as of August 2025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Legal Licensing &amp; Registration</w:t>
        <w:br/>
        <w:t xml:space="preserve">Registered as OGOLD Precious Metals Trading LLC, operating within UAE law. The company is subject to oversight under applicable regulations for fintech and trading entities in the emirates </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 Shariah Compliance</w:t>
        <w:br/>
        <w:t xml:space="preserve">Certified by the Center of Islamic Banking &amp; Economics (CIBE). This ensures that all operations</w:t>
      </w:r>
      <w:r>
        <w:rPr>
          <w:rFonts w:ascii="Arial" w:hAnsi="Arial" w:cs="Arial" w:eastAsia="Arial"/>
          <w:color w:val="auto"/>
          <w:spacing w:val="0"/>
          <w:position w:val="0"/>
          <w:sz w:val="24"/>
          <w:shd w:fill="auto" w:val="clear"/>
        </w:rPr>
        <w:t xml:space="preserve">—including gold and silver investments and the Wakalah Gold Earnings model</w:t>
      </w:r>
      <w:r>
        <w:rPr>
          <w:rFonts w:ascii="Arial" w:hAnsi="Arial" w:cs="Arial" w:eastAsia="Arial"/>
          <w:color w:val="auto"/>
          <w:spacing w:val="0"/>
          <w:position w:val="0"/>
          <w:sz w:val="24"/>
          <w:shd w:fill="auto" w:val="clear"/>
        </w:rPr>
        <w:t xml:space="preserve">—adhere to AAOIFI Shariah standards. </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Physical Backing &amp; Quality Assurance</w:t>
        <w:br/>
        <w:t xml:space="preserve">Each investment is backed by allocated physical gold and silver held securely, with authentication and quality checks. The platform’s partner</w:t>
      </w:r>
      <w:r>
        <w:rPr>
          <w:rFonts w:ascii="Arial" w:hAnsi="Arial" w:cs="Arial" w:eastAsia="Arial"/>
          <w:color w:val="auto"/>
          <w:spacing w:val="0"/>
          <w:position w:val="0"/>
          <w:sz w:val="24"/>
          <w:shd w:fill="auto" w:val="clear"/>
        </w:rPr>
        <w:t xml:space="preserve">—Emirates Gold, an established UAE refinery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ensures certified, high-purity inventory. </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Asset-Backed Earning Model</w:t>
        <w:br/>
        <w:t xml:space="preserve">Users earn asset-based returns (Wakalah Gold Earnings), benchmarked around 3% annually in gold grams, in partnership with Monetary Metals</w:t>
      </w:r>
      <w:r>
        <w:rPr>
          <w:rFonts w:ascii="Arial" w:hAnsi="Arial" w:cs="Arial" w:eastAsia="Arial"/>
          <w:color w:val="auto"/>
          <w:spacing w:val="0"/>
          <w:position w:val="0"/>
          <w:sz w:val="24"/>
          <w:shd w:fill="auto" w:val="clear"/>
        </w:rPr>
        <w:t xml:space="preserve">—a leader in gold leasing infrastructure.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Custody, Insurance &amp; Transparency</w:t>
        <w:br/>
        <w:t xml:space="preserve">Holdings are protected via comprehensive insurance, real-time tracking, and secure delivery infrastructure, ensuring traceability and continuity of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are advised to check the latest information about the product and media news regarding any issues reported regarding  to the product or issuer of the product before investment decisions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global regulations one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Global regulations on Gold Exchange Traded Funds (Gold ETFs) typically include:</w:t>
      </w:r>
    </w:p>
    <w:p>
      <w:pPr>
        <w:numPr>
          <w:ilvl w:val="0"/>
          <w:numId w:val="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Gold Backing and Auditing: Gold ETFs must hold physical gold of high purity (usually 99.5% or above), stored securely and audited regularly to ensure the fund's gold holdings correspond fully to outstanding ETF units, ensuring transparency and investor confidence.</w:t>
      </w:r>
    </w:p>
    <w:p>
      <w:pPr>
        <w:numPr>
          <w:ilvl w:val="0"/>
          <w:numId w:val="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Listing and Trading Compliance: Gold ETFs are listed and traded on recognized stock exchanges, requiring investors to use dematerialized accounts and brokerage services under local securities regulations.</w:t>
      </w:r>
    </w:p>
    <w:p>
      <w:pPr>
        <w:numPr>
          <w:ilvl w:val="0"/>
          <w:numId w:val="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Investment Fund Regulations: Gold ETFs conform to local mutual fund or fund-of-fund regulations, such as SEBI regulations in India, UCITS directives in Europe, and SEC rules in the US, ensuring disclosure, governance, and investor protection.</w:t>
      </w:r>
    </w:p>
    <w:p>
      <w:pPr>
        <w:numPr>
          <w:ilvl w:val="0"/>
          <w:numId w:val="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Cost and Expense Transparency: Regulation mandates clear disclosure of expense ratios, including management, storage, and insurance fees, to maintain fair pricing.</w:t>
      </w:r>
    </w:p>
    <w:p>
      <w:pPr>
        <w:numPr>
          <w:ilvl w:val="0"/>
          <w:numId w:val="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Product Structure and Classification: In some regions, gold ETFs are structured as Exchange Traded Commodities (ETCs) due to regulatory frameworks, while others permit true ETFs owning physical gold.</w:t>
      </w:r>
    </w:p>
    <w:p>
      <w:pPr>
        <w:numPr>
          <w:ilvl w:val="0"/>
          <w:numId w:val="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Tax Treatment: Tax regulations differentiate Gold ETFs from physical gold, often offering favorable capital gains treatment that supports investment.</w:t>
      </w:r>
    </w:p>
    <w:p>
      <w:pPr>
        <w:numPr>
          <w:ilvl w:val="0"/>
          <w:numId w:val="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 Suitability and Protection: Strict KYC/AML procedures, risk disclosure, and sales suitability requirements to protect retail investors.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top 10 global regulators  in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are the top 10 global regulators associated with Gold Exchange Traded Funds (Gold ETFs), overseeing their issuance, trading, and compliance:</w:t>
      </w:r>
    </w:p>
    <w:tbl>
      <w:tblPr/>
      <w:tblGrid>
        <w:gridCol w:w="859"/>
        <w:gridCol w:w="3287"/>
        <w:gridCol w:w="2012"/>
        <w:gridCol w:w="4942"/>
      </w:tblGrid>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Rank</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Regulator Name</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Country/Region</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top"/>
          </w:tcPr>
          <w:p>
            <w:pPr>
              <w:spacing w:before="0" w:after="160" w:line="278"/>
              <w:ind w:right="0" w:left="0" w:firstLine="0"/>
              <w:jc w:val="left"/>
              <w:rPr>
                <w:color w:val="auto"/>
                <w:spacing w:val="0"/>
                <w:position w:val="0"/>
              </w:rPr>
            </w:pPr>
            <w:r>
              <w:rPr>
                <w:rFonts w:ascii="Aptos" w:hAnsi="Aptos" w:cs="Aptos" w:eastAsia="Aptos"/>
                <w:b/>
                <w:color w:val="auto"/>
                <w:spacing w:val="0"/>
                <w:position w:val="0"/>
                <w:sz w:val="24"/>
                <w:shd w:fill="auto" w:val="clear"/>
              </w:rPr>
              <w:t xml:space="preserve">Role in Gold ETFs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Securities and Exchange Commission (SEC)</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United States</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Regulates listing, trading, disclosures, and investor protection for Gold ETFs in US markets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2</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Financial Conduct Authority (FCA)</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United Kingdom</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Oversees Gold ETFs and ETCs under UK financial regulations, investor protection, and market conduct</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3</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European Securities and Markets Authority (ESMA)</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European Union</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Sets regulations affecting UCITS funds including gold-based ETFs and ETCs across EU member states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4</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Securities and Exchange Board of India (SEBI)</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India</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Regulates Gold ETFs as mutual fund schemes, including physical gold backing and disclosures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5</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Autorité des marchés financiers (AMF)</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France</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Implements gold ETC and ETF rules under French securities laws and EU directives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6</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Swiss Financial Market Supervisory Authority (FINMA)</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Switzerland</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Regulates Swiss Gold ETFs and commodity funds listing on Swiss exchanges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7</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Australian Securities and Investments Commission (ASIC)</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Australia</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Oversees ETFs including gold ETFs within Australian financial laws and exchange rules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8</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Japan Financial Services Agency (FSA)</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Japan</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Regulates ETNs and ETFs, including gold-backed funds, ensuring compliance and investor safety</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9</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Capital Market Authority (CMA)</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Saudi Arabia</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Supervises issuance and trading compliance of Gold ETFs and securities in Saudi markets</w:t>
            </w:r>
          </w:p>
        </w:tc>
      </w:tr>
      <w:tr>
        <w:trPr>
          <w:trHeight w:val="1" w:hRule="atLeast"/>
          <w:jc w:val="left"/>
        </w:trPr>
        <w:tc>
          <w:tcPr>
            <w:tcW w:w="859"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10</w:t>
            </w:r>
          </w:p>
        </w:tc>
        <w:tc>
          <w:tcPr>
            <w:tcW w:w="3287"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Dubai Financial Services Authority (DFSA)</w:t>
            </w:r>
          </w:p>
        </w:tc>
        <w:tc>
          <w:tcPr>
            <w:tcW w:w="201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UAE (DIFC)</w:t>
            </w:r>
          </w:p>
        </w:tc>
        <w:tc>
          <w:tcPr>
            <w:tcW w:w="4942" w:type="dxa"/>
            <w:tcBorders>
              <w:top w:val="single" w:color="000000" w:sz="2"/>
              <w:left w:val="single" w:color="000000" w:sz="2"/>
              <w:bottom w:val="single" w:color="000000" w:sz="6"/>
              <w:right w:val="single" w:color="000000" w:sz="6"/>
            </w:tcBorders>
            <w:shd w:color="000000" w:fill="ffffff" w:val="clear"/>
            <w:tcMar>
              <w:left w:w="120" w:type="dxa"/>
              <w:right w:w="120" w:type="dxa"/>
            </w:tcMar>
            <w:vAlign w:val="bottom"/>
          </w:tcPr>
          <w:p>
            <w:pPr>
              <w:spacing w:before="0" w:after="160" w:line="278"/>
              <w:ind w:right="0" w:left="0" w:firstLine="0"/>
              <w:jc w:val="left"/>
              <w:rPr>
                <w:color w:val="auto"/>
                <w:spacing w:val="0"/>
                <w:position w:val="0"/>
              </w:rPr>
            </w:pPr>
            <w:r>
              <w:rPr>
                <w:rFonts w:ascii="Aptos" w:hAnsi="Aptos" w:cs="Aptos" w:eastAsia="Aptos"/>
                <w:color w:val="auto"/>
                <w:spacing w:val="0"/>
                <w:position w:val="0"/>
                <w:sz w:val="24"/>
                <w:shd w:fill="auto" w:val="clear"/>
              </w:rPr>
              <w:t xml:space="preserve">Regulates ETF offerings in Dubai International Financial Centre, including gold-backed ETFs</w:t>
            </w:r>
          </w:p>
        </w:tc>
      </w:tr>
    </w:tbl>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invest 11 month, get 12 month gold in return scheme by jewellery chains sharia compliant?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Most jewellery gold schemes are generally not compliant with Shariah principles. Therefore, it is essential to carefully review the terms and conditions of each scheme to assess compliance.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Few guidelines in this regard are given below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gold or money is deposited as a loan, any bonus or additional value returned is considered Riba (interest) and is impermissible.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gold is given to the jeweller for safekeeping, the jeweller is not allowed to use it for business purposes; hence, promising extra benefits is not permissible.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the arrangement is structured as a profit-sharing contract, it must include clear terms, transparency, and genuine risk-sharing; conditions which most jewellers’ schemes fail to meet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Storage, insurance, or handling charges should be clearly disclosed and should not mask interest-based income.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Hence always show the specific terms and conditions to a recognized Shariah scholar and confirm its compliance with Shariah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Which are the non Sharia compliant gold ETF in india</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Look at gold etfs in India and tell which are non Shariah complaint ones among them.</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Check out the Gold ETFs in India and then tell me which are the ones not Shariah compliant among them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of August 2024 TASIS list the following Gold ETFs in India are not Sharia compliant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Kotak Gold ETF (KOTAKGOLD)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Canara Robeco Gold ETF (CANGOLD)</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Apart from tasis, is there any other Sharia audit firm publishing Sharia compliant gold ETF list on quarterly basis, globally?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Apart from TASIS, there are other Shariah audit firms that publish Shariah-compliant Gold ETF lists on a quarterly basis, globally.</w:t>
      </w:r>
    </w:p>
    <w:p>
      <w:pPr>
        <w:numPr>
          <w:ilvl w:val="0"/>
          <w:numId w:val="34"/>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Yasaar Limited</w:t>
        <w:br/>
        <w:t xml:space="preserve">A global Shariah consultancy that audits various halal ETFs, including Gold ETFs, quarterly. Yasaar provides Shariah compliance certification and reports at the end of each quarter, ensuring continuous screening and monitoring for compliance.</w:t>
      </w:r>
    </w:p>
    <w:p>
      <w:pPr>
        <w:numPr>
          <w:ilvl w:val="0"/>
          <w:numId w:val="34"/>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Amanie Advisors</w:t>
        <w:br/>
        <w:t xml:space="preserve">Shariah advisors to funds like the TradePlus Shariah Gold Tracker in Malaysia, providing regular Shariah compliance audits and reports that accompany the fund's interim and annual financial statements.</w:t>
      </w:r>
    </w:p>
    <w:p>
      <w:pPr>
        <w:numPr>
          <w:ilvl w:val="0"/>
          <w:numId w:val="34"/>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ISLAMICLY</w:t>
        <w:br/>
        <w:t xml:space="preserve">Provides quarterly updated real-time Shariah compliance data and screening for various halal ETFs, including gold-backed products, globally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Apart from tasis what are the other Sharia audit firms in india, who publish the list of Sharia compliant gold ETF?</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Apart from TASIS, there are no other prominent Shariah audit firms in India known specifically for publishing a dedicated list of Shariah-compliant Gold ETFs on a regular or quarterly basis.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On a purely commercial basis, which Sharia compliant gold ETF is most attractive in terms fees and charges?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a technology platform to help Shariah compliant investors to help in investing Shariah compliant investments, I cannot compare products and advise based on commercial profitability. We request you to kindly refer the scheme documents of ETFs  and use  ETF Comparison Websites to take an informed decision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Which is the best Sharia compliant gold ETF in india?</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Historically which Sharia compliant gold ETF, in india, has given the best returns?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Currently my database do not keep the historical returns of Gold ETFs. I am unable to provide the requested information. We request you to kindly refer the scheme documents of ETFs  and use  ETF Comparison Websites to take an informed decision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 per shafi Madhab, is investment in gold ETF halal?</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 per Hanafi Madhab, is investment in gold ETF halal?</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 per Hanbali Madhab, is investment in gold ETF halal?</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 per Maliki Madhab, is investment in gold ETF halal?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 a technology platform supporting Shariah-compliant investments, I primarily rely on standards such as the AAOIFI Gold Standard, which serves as a globally recognized benchmark for Shariah compliance in gold investments.  I do not specialize in detailed jurisprudential differences among Islamic schools of thought. For precise rulings within a specific school of thought, it is recommended to consult classical Fiqh books or trusted scholars, as differing juristic nuances may apply. Meanwhile, adherence to certified standards like the AAOIFI and consultation with Shariah advisory firms can provide practical guidance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The zakat due on good ETF, should one pay from the ETF itself or is it ok the investor pay from any of his assets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Zakat does not need to be paid from the same asset where it is due. If zakat is due on your ETF holdings, you can discharge it either:</w:t>
      </w:r>
    </w:p>
    <w:p>
      <w:pPr>
        <w:numPr>
          <w:ilvl w:val="0"/>
          <w:numId w:val="38"/>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selling part of the ETF units and paying the zakat in cash, or</w:t>
      </w:r>
    </w:p>
    <w:p>
      <w:pPr>
        <w:numPr>
          <w:ilvl w:val="0"/>
          <w:numId w:val="38"/>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using cash or liquid assets from elsewhere in your portfolio.</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globally available tools to quickly check shariah compliance of Gold ETFs</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Islamicly</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Mobile app providing Shariah compliance screening of stocks and ETFs with real-time portfolio tracking.</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Zoya</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Halal investing platform offering global stock and ETF Shariah screening with portfolio monitoring.</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IslamicFinanceGuru</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Educational platform guiding Muslims on halal investing, including ETFs, with practical screening advice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Is it possible to start investing in India in these Gold ETFs completely online?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 You can follow the following steps: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Open a Demat and trading account with any SEBI-registered broker (e.g., Zerodha, Groww, Upstox, ICICI Direct, HDFC Securities).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Complete the KYC process online using Aadhaar-based e-KYC.</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 your bank account and transfer funds online.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Search for the Gold ETF symbol (e.g., Nippon India Gold ETF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NIPBEES, HDFC Gold ETF, SBI Gold ETF) on the trading platform and place a buy order.</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Can you provide list of brokers in Kerala providing ETF services, will all brokers in trading equities support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Yes. In Kerala /India, </w:t>
      </w:r>
      <w:r>
        <w:rPr>
          <w:rFonts w:ascii="Aptos" w:hAnsi="Aptos" w:cs="Aptos" w:eastAsia="Aptos"/>
          <w:b/>
          <w:color w:val="auto"/>
          <w:spacing w:val="0"/>
          <w:position w:val="0"/>
          <w:sz w:val="24"/>
          <w:shd w:fill="auto" w:val="clear"/>
        </w:rPr>
        <w:t xml:space="preserve">any broker registered for equity trading on NSE/BSE can execute ETF trades</w:t>
      </w:r>
      <w:r>
        <w:rPr>
          <w:rFonts w:ascii="Aptos" w:hAnsi="Aptos" w:cs="Aptos" w:eastAsia="Aptos"/>
          <w:color w:val="auto"/>
          <w:spacing w:val="0"/>
          <w:position w:val="0"/>
          <w:sz w:val="24"/>
          <w:shd w:fill="auto" w:val="clear"/>
        </w:rPr>
        <w:t xml:space="preserve"> because ETFs are treated like equity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That includes major national brokers like </w:t>
      </w:r>
      <w:r>
        <w:rPr>
          <w:rFonts w:ascii="Aptos" w:hAnsi="Aptos" w:cs="Aptos" w:eastAsia="Aptos"/>
          <w:b/>
          <w:color w:val="auto"/>
          <w:spacing w:val="0"/>
          <w:position w:val="0"/>
          <w:sz w:val="24"/>
          <w:shd w:fill="auto" w:val="clear"/>
        </w:rPr>
        <w:t xml:space="preserve">Groww</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Zerodha</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Angel One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Motilal Oswal</w:t>
      </w:r>
      <w:r>
        <w:rPr>
          <w:rFonts w:ascii="Aptos" w:hAnsi="Aptos" w:cs="Aptos" w:eastAsia="Aptos"/>
          <w:color w:val="auto"/>
          <w:spacing w:val="0"/>
          <w:position w:val="0"/>
          <w:sz w:val="24"/>
          <w:shd w:fill="auto" w:val="clear"/>
        </w:rPr>
        <w:t xml:space="preserve">, and others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Can you please provide the prerequisites to invest in Indian Gold ETFs like PAN card, local mobile number etc.?</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invest in </w:t>
      </w:r>
      <w:r>
        <w:rPr>
          <w:rFonts w:ascii="Aptos" w:hAnsi="Aptos" w:cs="Aptos" w:eastAsia="Aptos"/>
          <w:b/>
          <w:color w:val="auto"/>
          <w:spacing w:val="0"/>
          <w:position w:val="0"/>
          <w:sz w:val="24"/>
          <w:shd w:fill="auto" w:val="clear"/>
        </w:rPr>
        <w:t xml:space="preserve">Indian Gold ETFs</w:t>
      </w:r>
      <w:r>
        <w:rPr>
          <w:rFonts w:ascii="Aptos" w:hAnsi="Aptos" w:cs="Aptos" w:eastAsia="Aptos"/>
          <w:color w:val="auto"/>
          <w:spacing w:val="0"/>
          <w:position w:val="0"/>
          <w:sz w:val="24"/>
          <w:shd w:fill="auto" w:val="clear"/>
        </w:rPr>
        <w:t xml:space="preserve">, these are the standard prerequisites:</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PAN Card</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Mandatory for all capital market investments.</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Aadhaar Card</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Required for e-KYC (identity and address proof).</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Bank Account</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Linked to your trading account for fund transfers.</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Demat Account</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To hold ETF units in electronic form.</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Trading Account</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With a SEBI-registered broker (to buy/sell ETFs on NSE/BSE).</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Mobile Number Linked to Aadhaar</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Needed for OTP-based e-KYC authentication.</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Email ID</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For account verification, contract notes, and transaction updates.</w:t>
      </w:r>
    </w:p>
    <w:p>
      <w:pPr>
        <w:numPr>
          <w:ilvl w:val="0"/>
          <w:numId w:val="41"/>
        </w:numPr>
        <w:tabs>
          <w:tab w:val="left" w:pos="720" w:leader="none"/>
        </w:tabs>
        <w:spacing w:before="0" w:after="160" w:line="278"/>
        <w:ind w:right="0" w:left="360" w:hanging="360"/>
        <w:jc w:val="left"/>
        <w:rPr>
          <w:rFonts w:ascii="Arial" w:hAnsi="Arial" w:cs="Arial" w:eastAsia="Arial"/>
          <w:color w:val="auto"/>
          <w:spacing w:val="0"/>
          <w:position w:val="0"/>
          <w:sz w:val="24"/>
          <w:shd w:fill="auto" w:val="clear"/>
        </w:rPr>
      </w:pPr>
      <w:r>
        <w:rPr>
          <w:rFonts w:ascii="Aptos" w:hAnsi="Aptos" w:cs="Aptos" w:eastAsia="Aptos"/>
          <w:b/>
          <w:color w:val="auto"/>
          <w:spacing w:val="0"/>
          <w:position w:val="0"/>
          <w:sz w:val="24"/>
          <w:shd w:fill="auto" w:val="clear"/>
        </w:rPr>
        <w:t xml:space="preserve">Passport-size Photo &amp; Signature Upload</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Part of online account opening process.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Why was 3% set by TASIS for India as a tolerance for interest income from Gold ETF s?</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The 3% tolerance limit set by TASIS (Taqwaa Advisory and Shariah Investment Solutions) for interest-based (non-compliant) income in Shariah screening of ETFs and equities comes from a principle of "umoom al-balwa"</w:t>
      </w:r>
      <w:r>
        <w:rPr>
          <w:rFonts w:ascii="Arial" w:hAnsi="Arial" w:cs="Arial" w:eastAsia="Arial"/>
          <w:color w:val="auto"/>
          <w:spacing w:val="0"/>
          <w:position w:val="0"/>
          <w:sz w:val="24"/>
          <w:shd w:fill="auto" w:val="clear"/>
        </w:rPr>
        <w:t xml:space="preserve">—unavoidable hardship.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Most listed companies, even Shariah-compliant ones, generate some incidental income from interest (e.g., bank deposits, cash management, late payment penalties).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Completely eliminating such exposure is nearly impossible, so a tolerance threshold is necessary.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AAOIFI (Accounting and Auditing Organization for Islamic Financial Institutions) allows up to 5% of total revenue from impermissible sources.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TASIS, being more conservative, sets the bar lower at 3% for Indian equities and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Any impermissible income within the allowed threshold must be purified by donating that portion of income to charity.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tolerance limit is only to facilitate investment; it does not permit the investor to keep the non-compliant earnings.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it 3% of noncompliant income of Gold ETFs applicable in other countries which you listed earlier?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3</w:t>
      </w:r>
      <w:r>
        <w:rPr>
          <w:rFonts w:ascii="Aptos" w:hAnsi="Aptos" w:cs="Aptos" w:eastAsia="Aptos"/>
          <w:b/>
          <w:color w:val="auto"/>
          <w:spacing w:val="0"/>
          <w:position w:val="0"/>
          <w:sz w:val="24"/>
          <w:shd w:fill="auto" w:val="clear"/>
        </w:rPr>
        <w:t xml:space="preserve">% limit is unique to TASIS in India</w:t>
      </w:r>
      <w:r>
        <w:rPr>
          <w:rFonts w:ascii="Aptos" w:hAnsi="Aptos" w:cs="Aptos" w:eastAsia="Aptos"/>
          <w:color w:val="auto"/>
          <w:spacing w:val="0"/>
          <w:position w:val="0"/>
          <w:sz w:val="24"/>
          <w:shd w:fill="auto" w:val="clear"/>
        </w:rPr>
        <w:t xml:space="preserve">. Globally, almost all other boards and Shariah indices use </w:t>
      </w:r>
      <w:r>
        <w:rPr>
          <w:rFonts w:ascii="Aptos" w:hAnsi="Aptos" w:cs="Aptos" w:eastAsia="Aptos"/>
          <w:b/>
          <w:color w:val="auto"/>
          <w:spacing w:val="0"/>
          <w:position w:val="0"/>
          <w:sz w:val="24"/>
          <w:shd w:fill="auto" w:val="clear"/>
        </w:rPr>
        <w:t xml:space="preserve">5%</w:t>
      </w:r>
      <w:r>
        <w:rPr>
          <w:rFonts w:ascii="Aptos" w:hAnsi="Aptos" w:cs="Aptos" w:eastAsia="Aptos"/>
          <w:color w:val="auto"/>
          <w:spacing w:val="0"/>
          <w:position w:val="0"/>
          <w:sz w:val="24"/>
          <w:shd w:fill="auto" w:val="clear"/>
        </w:rPr>
        <w:t xml:space="preserve"> as the tolerance threshold for non compliant income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rationale behind TASIS setting a strict 1.5% limit on money market exposure for Gold ETFs in its Shariah screening methodology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1.5% limit set by TASIS for money market exposure of Gold ETFs comes from the principle of avoiding riba-based instruments as much as possible.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ETFs may temporarily park surplus cash in money market instruments (e.g., treasury bills, short-term deposits) for liquidity management.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Completely eliminating such placements is practically difficult, since funds require short-term cash management to meet redemptions and operational needs.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AAOIFI permits up to 33% of assets in cash or interest-bearing instruments for equities, but TASIS applies a much stricter 1.5% cap specifically for Gold ETFs.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stricter cap ensures the ETF is predominantly backed by physical gold, minimizing exposure to interest-based income.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Any incidental income from such money market exposure must be purified through donation to charity, not retained by the investor.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1.5% threshold strikes a balance between operational necessity and maintaining Shariah purity in gold-backed investments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Please inform anything particular on Indian tax perspective if I hold gold ETFs as an NRI</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Capital Gains Taxation</w:t>
      </w:r>
    </w:p>
    <w:p>
      <w:pPr>
        <w:numPr>
          <w:ilvl w:val="0"/>
          <w:numId w:val="43"/>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Short-Term Capital Gains (STCG):</w:t>
      </w:r>
    </w:p>
    <w:p>
      <w:pPr>
        <w:numPr>
          <w:ilvl w:val="0"/>
          <w:numId w:val="43"/>
        </w:numPr>
        <w:tabs>
          <w:tab w:val="left" w:pos="1440" w:leader="none"/>
        </w:tabs>
        <w:spacing w:before="0" w:after="160" w:line="278"/>
        <w:ind w:right="0" w:left="1080" w:hanging="360"/>
        <w:jc w:val="left"/>
        <w:rPr>
          <w:rFonts w:ascii="Cambria Math" w:hAnsi="Cambria Math" w:cs="Cambria Math" w:eastAsia="Cambria Math"/>
          <w:color w:val="auto"/>
          <w:spacing w:val="0"/>
          <w:position w:val="0"/>
          <w:sz w:val="24"/>
          <w:shd w:fill="auto" w:val="clear"/>
        </w:rPr>
      </w:pPr>
      <w:r>
        <w:rPr>
          <w:rFonts w:ascii="Aptos" w:hAnsi="Aptos" w:cs="Aptos" w:eastAsia="Aptos"/>
          <w:color w:val="auto"/>
          <w:spacing w:val="0"/>
          <w:position w:val="0"/>
          <w:sz w:val="24"/>
          <w:shd w:fill="auto" w:val="clear"/>
        </w:rPr>
        <w:t xml:space="preserve">Holding period </w:t>
      </w:r>
      <w:r>
        <w:rPr>
          <w:rFonts w:ascii="Cambria Math" w:hAnsi="Cambria Math" w:cs="Cambria Math" w:eastAsia="Cambria Math"/>
          <w:color w:val="auto"/>
          <w:spacing w:val="0"/>
          <w:position w:val="0"/>
          <w:sz w:val="24"/>
          <w:shd w:fill="auto" w:val="clear"/>
        </w:rPr>
        <w:t xml:space="preserve">≤ 3 years → Taxed at slab rates applicable to the investor.</w:t>
      </w:r>
    </w:p>
    <w:p>
      <w:pPr>
        <w:numPr>
          <w:ilvl w:val="0"/>
          <w:numId w:val="43"/>
        </w:numPr>
        <w:tabs>
          <w:tab w:val="left" w:pos="1440" w:leader="none"/>
        </w:tabs>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NRIs, slab-based rates apply, but TDS is deducted at source by the broker/AMC.</w:t>
      </w:r>
    </w:p>
    <w:p>
      <w:pPr>
        <w:numPr>
          <w:ilvl w:val="0"/>
          <w:numId w:val="43"/>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Long-Term Capital Gains (LTCG):</w:t>
      </w:r>
    </w:p>
    <w:p>
      <w:pPr>
        <w:numPr>
          <w:ilvl w:val="0"/>
          <w:numId w:val="43"/>
        </w:numPr>
        <w:tabs>
          <w:tab w:val="left" w:pos="1440" w:leader="none"/>
        </w:tabs>
        <w:spacing w:before="0" w:after="160" w:line="278"/>
        <w:ind w:right="0" w:left="1080" w:hanging="360"/>
        <w:jc w:val="left"/>
        <w:rPr>
          <w:rFonts w:ascii="Cambria Math" w:hAnsi="Cambria Math" w:cs="Cambria Math" w:eastAsia="Cambria Math"/>
          <w:color w:val="auto"/>
          <w:spacing w:val="0"/>
          <w:position w:val="0"/>
          <w:sz w:val="24"/>
          <w:shd w:fill="auto" w:val="clear"/>
        </w:rPr>
      </w:pPr>
      <w:r>
        <w:rPr>
          <w:rFonts w:ascii="Aptos" w:hAnsi="Aptos" w:cs="Aptos" w:eastAsia="Aptos"/>
          <w:color w:val="auto"/>
          <w:spacing w:val="0"/>
          <w:position w:val="0"/>
          <w:sz w:val="24"/>
          <w:shd w:fill="auto" w:val="clear"/>
        </w:rPr>
        <w:t xml:space="preserve">Holding period &gt; 3 years </w:t>
      </w:r>
      <w:r>
        <w:rPr>
          <w:rFonts w:ascii="Cambria Math" w:hAnsi="Cambria Math" w:cs="Cambria Math" w:eastAsia="Cambria Math"/>
          <w:color w:val="auto"/>
          <w:spacing w:val="0"/>
          <w:position w:val="0"/>
          <w:sz w:val="24"/>
          <w:shd w:fill="auto" w:val="clear"/>
        </w:rPr>
        <w:t xml:space="preserve">→ Taxed at 20% with indexation benefits.</w:t>
      </w:r>
    </w:p>
    <w:p>
      <w:pPr>
        <w:numPr>
          <w:ilvl w:val="0"/>
          <w:numId w:val="43"/>
        </w:numPr>
        <w:tabs>
          <w:tab w:val="left" w:pos="1440" w:leader="none"/>
        </w:tabs>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TDS applies for NRIs.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Dividend Income (if any)</w:t>
      </w:r>
    </w:p>
    <w:p>
      <w:pPr>
        <w:numPr>
          <w:ilvl w:val="0"/>
          <w:numId w:val="48"/>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Most Gold ETFs do not pay dividends, but if received:</w:t>
      </w:r>
    </w:p>
    <w:p>
      <w:pPr>
        <w:numPr>
          <w:ilvl w:val="0"/>
          <w:numId w:val="48"/>
        </w:numPr>
        <w:tabs>
          <w:tab w:val="left" w:pos="1440" w:leader="none"/>
        </w:tabs>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Taxable in India at applicable slab rates.</w:t>
      </w:r>
    </w:p>
    <w:p>
      <w:pPr>
        <w:numPr>
          <w:ilvl w:val="0"/>
          <w:numId w:val="48"/>
        </w:numPr>
        <w:tabs>
          <w:tab w:val="left" w:pos="1440" w:leader="none"/>
        </w:tabs>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TDS will be deducted before remittance.</w:t>
      </w:r>
    </w:p>
    <w:p>
      <w:pPr>
        <w:numPr>
          <w:ilvl w:val="0"/>
          <w:numId w:val="48"/>
        </w:numPr>
        <w:tabs>
          <w:tab w:val="left" w:pos="1440" w:leader="none"/>
        </w:tabs>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May be eligible for DTAA relief in your country of residence.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TDS for NRIs</w:t>
      </w:r>
    </w:p>
    <w:p>
      <w:pPr>
        <w:numPr>
          <w:ilvl w:val="0"/>
          <w:numId w:val="51"/>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 capital gains, TDS is deducted at:</w:t>
      </w:r>
    </w:p>
    <w:p>
      <w:pPr>
        <w:numPr>
          <w:ilvl w:val="0"/>
          <w:numId w:val="51"/>
        </w:numPr>
        <w:tabs>
          <w:tab w:val="left" w:pos="1440" w:leader="none"/>
        </w:tabs>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30% (plus surcharge/cess) for STCG.</w:t>
      </w:r>
    </w:p>
    <w:p>
      <w:pPr>
        <w:numPr>
          <w:ilvl w:val="0"/>
          <w:numId w:val="51"/>
        </w:numPr>
        <w:tabs>
          <w:tab w:val="left" w:pos="1440" w:leader="none"/>
        </w:tabs>
        <w:spacing w:before="0" w:after="160" w:line="278"/>
        <w:ind w:right="0" w:left="108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20% (plus surcharge/cess) for LTCG with indexation.</w:t>
      </w:r>
    </w:p>
    <w:p>
      <w:pPr>
        <w:numPr>
          <w:ilvl w:val="0"/>
          <w:numId w:val="51"/>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may claim a refund later if actual liability is lower.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Repatriation</w:t>
      </w:r>
    </w:p>
    <w:p>
      <w:pPr>
        <w:numPr>
          <w:ilvl w:val="0"/>
          <w:numId w:val="55"/>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investment is made through an NRE account, proceeds (after tax) are fully repatriable.</w:t>
      </w:r>
    </w:p>
    <w:p>
      <w:pPr>
        <w:numPr>
          <w:ilvl w:val="0"/>
          <w:numId w:val="55"/>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through an NRO account, repatriation is subject to limits (USD 1 million per financial year) and RBI filings.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Wealth Tax &amp; GST</w:t>
      </w:r>
    </w:p>
    <w:p>
      <w:pPr>
        <w:numPr>
          <w:ilvl w:val="0"/>
          <w:numId w:val="5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wealth tax on Gold ETFs in India.</w:t>
      </w:r>
    </w:p>
    <w:p>
      <w:pPr>
        <w:numPr>
          <w:ilvl w:val="0"/>
          <w:numId w:val="57"/>
        </w:numPr>
        <w:tabs>
          <w:tab w:val="left" w:pos="720" w:leader="none"/>
        </w:tabs>
        <w:spacing w:before="0" w:after="160" w:line="278"/>
        <w:ind w:right="0" w:left="3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GST on buying/selling Gold ETFs (unlike physical gold).</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Can you provide of any instances in India past 10 years that ETFs updated their expense ratios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I couldn’t find specific documented instances over the past 10 years where Indian ETFs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particularly Gold ETFs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publicly revised their expense ratios. Fund houses typically set and disclose their expense ratios at launch or annually, but </w:t>
      </w:r>
      <w:r>
        <w:rPr>
          <w:rFonts w:ascii="Calibri" w:hAnsi="Calibri" w:cs="Calibri" w:eastAsia="Calibri"/>
          <w:b/>
          <w:color w:val="auto"/>
          <w:spacing w:val="0"/>
          <w:position w:val="0"/>
          <w:sz w:val="24"/>
          <w:shd w:fill="auto" w:val="clear"/>
        </w:rPr>
        <w:t xml:space="preserve">changes are rare and not prominently reported</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7">
    <w:abstractNumId w:val="48"/>
  </w:num>
  <w:num w:numId="34">
    <w:abstractNumId w:val="42"/>
  </w:num>
  <w:num w:numId="38">
    <w:abstractNumId w:val="36"/>
  </w:num>
  <w:num w:numId="41">
    <w:abstractNumId w:val="30"/>
  </w:num>
  <w:num w:numId="43">
    <w:abstractNumId w:val="24"/>
  </w:num>
  <w:num w:numId="48">
    <w:abstractNumId w:val="18"/>
  </w:num>
  <w:num w:numId="51">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