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</w:rPr>
        <w:t>Supplementary material</w:t>
      </w:r>
    </w:p>
    <w:p>
      <w:pPr>
        <w:pStyle w:val="Heading1"/>
      </w:pPr>
      <w:r>
        <w:rPr>
          <w:rFonts w:ascii="Times New Roman" w:hAnsi="Times New Roman"/>
        </w:rPr>
        <w:t>Comparative GO BP enrichment in three rat DRG neuropathy models</w:t>
      </w:r>
    </w:p>
    <w:p>
      <w:r>
        <w:rPr>
          <w:rFonts w:ascii="Times New Roman" w:hAnsi="Times New Roman"/>
        </w:rPr>
        <w:t>Selected gene evidence and shared pathway enrichment in oxaliplatin-induced peripheral neuropathy (OIPN), nerve compression (NC) and chronic constriction injury (CCI).</w:t>
      </w:r>
    </w:p>
    <w:p>
      <w:pPr>
        <w:keepNext/>
      </w:pPr>
      <w:r>
        <w:rPr>
          <w:rFonts w:ascii="Times New Roman" w:hAnsi="Times New Roman"/>
          <w:b/>
        </w:rPr>
        <w:t>Table S1. Selected genes from the 11 representative GO:BP pathways.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53"/>
        <w:gridCol w:w="1296"/>
        <w:gridCol w:w="1253"/>
        <w:gridCol w:w="1296"/>
        <w:gridCol w:w="1253"/>
        <w:gridCol w:w="1296"/>
        <w:gridCol w:w="1642"/>
      </w:tblGrid>
      <w:tr>
        <w:trPr>
          <w:tblHeader w:val="true"/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i w:val="0"/>
                <w:sz w:val="20"/>
              </w:rPr>
              <w:t>Gene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OIPN</w:t>
              <w:br/>
              <w:t>log2FC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OIPN</w:t>
              <w:br/>
              <w:t>FDR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NC</w:t>
              <w:br/>
              <w:t>log2FC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NC</w:t>
              <w:br/>
              <w:t>FDR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CCI</w:t>
              <w:br/>
              <w:t>log2FC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CCI</w:t>
              <w:br/>
              <w:t>FDR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Physical</w:t>
              <w:br/>
              <w:t>support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Bard1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1.244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1.60E-02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2.248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8.77E-04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1.114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1.01E-02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NC, 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Cd14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0.587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3.10E-02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2.816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6.76E-11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9.97E-01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Cdk1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1.121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7.34E-05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3.025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8.77E-04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0.455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8.94E-01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Cdkn1a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2.366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1.35E-34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2.356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1.79E-18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1.253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1.17E-03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NC, 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Clspn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1.229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2.21E-02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2.479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1.60E-05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1.321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8.63E-01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Csf1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0.503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2.66E-03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1.192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2.43E-05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1.430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8.54E-07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NC, 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Dtl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1.408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3.07E-03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2.579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1.39E-02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0.426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9.63E-01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Ephb2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0.572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2.65E-02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1.429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5.27E-10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0.265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5.37E-01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Foxm1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0.660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7.32E-03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1.934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6.11E-06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0.118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9.70E-01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Gpnmb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1.307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7.06E-13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6.323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5.02E-37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0.201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7.70E-01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Icam1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0.823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7.19E-04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1.312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4.25E-07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8.10E-01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Ikbke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0.760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3.13E-03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2.236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1.10E-11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8.58E-01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Il4r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0.399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3.17E-02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1.277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2.16E-06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0.774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6.99E-04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NC, 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Irak3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0.632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1.56E-03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0.878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6.58E-05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0.245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5.22E-01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Irf1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0.550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1.17E-02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0.942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1.40E-04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0.068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9.73E-01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Itgal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0.516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4.92E-02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3.649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1.22E-12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0.722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8.12E-03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NC, 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Jak3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0.427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4.14E-02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1.879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2.06E-05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0.235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7.41E-01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Myof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0.337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4.17E-02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2.024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2.00E-16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0.286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1.10E-01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Parp14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0.394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4.57E-02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0.735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2.39E-02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9.94E-01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Plk1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0.971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2.11E-02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2.748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1.15E-07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0.506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5.73E-01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Plk2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0.380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1.19E-02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1.171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1.10E-02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0.072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9.25E-01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Tln1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0.377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5.31E-04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0.010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9.61E-01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0.390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7.16E-03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Amigo1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-0.283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3.04E-02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-1.900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4.63E-10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-0.281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2.51E-01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Cycs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-0.505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9.68E-04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-0.922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1.33E-04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-0.032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9.80E-01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Dhcr7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-0.272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2.03E-02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-2.674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1.92E-24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-0.022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9.90E-01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Fxyd7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-0.361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2.03E-04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-1.187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1.58E-05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-0.325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1.28E-01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Ghitm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-0.266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2.78E-02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-0.607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8.99E-03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-0.183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5.23E-01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Hmgcs1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-0.416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1.97E-02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-4.538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6.87E-46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-0.157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5.45E-01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Insig1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-0.380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6.98E-03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-2.748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2.47E-21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-0.213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5.42E-01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Kcna2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-0.380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3.40E-02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-3.137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1.35E-12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-0.290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3.75E-01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Nefh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-0.745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2.29E-05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-4.041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4.18E-05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-0.548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7.62E-06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NC, 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Nrn1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-0.311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3.03E-02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-2.546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4.75E-07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-0.325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1.96E-01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Pdhb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-0.334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2.06E-03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-0.654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3.85E-03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-0.185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5.17E-01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Sqle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-0.345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4.06E-03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-2.617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1.08E-31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-0.076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9.21E-01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Syt11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-0.295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4.06E-03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-1.293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8.55E-10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-0.015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9.90E-01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Uqcrc2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-0.247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3.96E-02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-0.801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4.71E-03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-0.138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7.92E-01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Uqcrfs1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-0.319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1.23E-03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-0.612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1.44E-02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-0.118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7.38E-01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</w:tbl>
    <w:p>
      <w:pPr>
        <w:spacing w:before="160"/>
      </w:pPr>
      <w:r>
        <w:rPr>
          <w:rFonts w:ascii="Times New Roman" w:hAnsi="Times New Roman"/>
          <w:sz w:val="20"/>
        </w:rPr>
        <w:t>Selection criterion: the gene has the same nonzero log2FC direction in all three studies and belongs to the same pathway Leading-edge with gene FDR &lt;0.05 in OIPN and at least one of NC or CCI. Physical support identifies the physical study or studies satisfying both Leading-edge membership and gene significance. The remaining physical study need not have significant gene FDR or Leading-edge membership.</w:t>
      </w:r>
    </w:p>
    <w:p>
      <w:r>
        <w:rPr>
          <w:rFonts w:ascii="Times New Roman" w:hAnsi="Times New Roman"/>
          <w:sz w:val="20"/>
        </w:rPr>
        <w:t>Positive log2FC indicates higher expression in neuropathy versus control; negative log2FC indicates lower expression. FDR values retain the original within-study gene-level adjustment; bold FDR values are &lt;0.05. The 37 unique genes are selected from the 11 representative pathways. OIPN: GSE160543; NC: GSE246156; CCI: GSE212311.</w:t>
      </w:r>
    </w:p>
    <w:p>
      <w:pPr>
        <w:sectPr>
          <w:pgSz w:w="12240" w:h="15840"/>
          <w:pgMar w:top="936" w:right="864" w:bottom="936" w:left="864" w:header="720" w:footer="720" w:gutter="0"/>
          <w:cols w:space="720"/>
          <w:docGrid w:linePitch="360"/>
        </w:sectPr>
      </w:pPr>
    </w:p>
    <w:p>
      <w:pPr>
        <w:keepNext/>
        <w:spacing w:after="160"/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11887200" cy="15957151"/>
            <wp:docPr id="1" name="Picture 1" descr="Figure S1. Shared-positive GO:BP pathways (part 1 of 3). Heatmap of pathway NES in OIPN, NC and CC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0" cy="15957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/>
          <w:b/>
        </w:rPr>
        <w:t xml:space="preserve">Figure S1. Shared-positive GO:BP pathways (part 1 of 3). </w:t>
      </w:r>
      <w:r>
        <w:rPr>
          <w:rFonts w:ascii="Times New Roman" w:hAnsi="Times New Roman"/>
        </w:rPr>
        <w:t>All 102 pathways have positive NES and pathway BH FDR &lt;0.05 in OIPN, NC and CCI. Cells show GSEA normalized enrichment scores (NES); red indicates positive and blue negative enrichment. The symmetric scale is shared across studies and pages; rows are not standardized. An asterisk denotes within-study pathway BH FDR &lt;0.05 across the full eligible GO:BP family. OIPN: GSE160543; NC: GSE246156; CCI: GSE212311.</w:t>
      </w:r>
    </w:p>
    <w:p>
      <w:pPr>
        <w:sectPr>
          <w:pgSz w:w="20160" w:h="28727"/>
          <w:pgMar w:top="792" w:right="720" w:bottom="792" w:left="720" w:header="720" w:footer="720" w:gutter="0"/>
          <w:cols w:space="720"/>
          <w:docGrid w:linePitch="360"/>
        </w:sectPr>
      </w:pPr>
    </w:p>
    <w:p>
      <w:pPr>
        <w:keepNext/>
        <w:spacing w:after="160"/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11887200" cy="15957151"/>
            <wp:docPr id="2" name="Picture 2" descr="Figure S1. Shared-positive GO:BP pathways (part 2 of 3). Heatmap of pathway NES in OIPN, NC and CC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0" cy="15957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/>
          <w:b/>
        </w:rPr>
        <w:t xml:space="preserve">Figure S1. Shared-positive GO:BP pathways (part 2 of 3). </w:t>
      </w:r>
      <w:r>
        <w:rPr>
          <w:rFonts w:ascii="Times New Roman" w:hAnsi="Times New Roman"/>
        </w:rPr>
        <w:t>All 102 pathways have positive NES and pathway BH FDR &lt;0.05 in OIPN, NC and CCI. Cells show GSEA normalized enrichment scores (NES); red indicates positive and blue negative enrichment. The symmetric scale is shared across studies and pages; rows are not standardized. An asterisk denotes within-study pathway BH FDR &lt;0.05 across the full eligible GO:BP family. OIPN: GSE160543; NC: GSE246156; CCI: GSE212311.</w:t>
      </w:r>
    </w:p>
    <w:p>
      <w:pPr>
        <w:sectPr>
          <w:pgSz w:w="20160" w:h="28727"/>
          <w:pgMar w:top="792" w:right="720" w:bottom="792" w:left="720" w:header="720" w:footer="720" w:gutter="0"/>
          <w:cols w:space="720"/>
          <w:docGrid w:linePitch="360"/>
        </w:sectPr>
      </w:pPr>
    </w:p>
    <w:p>
      <w:pPr>
        <w:keepNext/>
        <w:spacing w:after="160"/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11887200" cy="9540893"/>
            <wp:docPr id="3" name="Picture 3" descr="Figure S1. Shared-positive GO:BP pathways (part 3 of 3). Heatmap of pathway NES in OIPN, NC and CC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0" cy="9540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/>
          <w:b/>
        </w:rPr>
        <w:t xml:space="preserve">Figure S1. Shared-positive GO:BP pathways (part 3 of 3). </w:t>
      </w:r>
      <w:r>
        <w:rPr>
          <w:rFonts w:ascii="Times New Roman" w:hAnsi="Times New Roman"/>
        </w:rPr>
        <w:t>All 102 pathways have positive NES and pathway BH FDR &lt;0.05 in OIPN, NC and CCI. Cells show GSEA normalized enrichment scores (NES); red indicates positive and blue negative enrichment. The symmetric scale is shared across studies and pages; rows are not standardized. An asterisk denotes within-study pathway BH FDR &lt;0.05 across the full eligible GO:BP family. OIPN: GSE160543; NC: GSE246156; CCI: GSE212311.</w:t>
      </w:r>
    </w:p>
    <w:p>
      <w:pPr>
        <w:sectPr>
          <w:pgSz w:w="20160" w:h="18624"/>
          <w:pgMar w:top="792" w:right="720" w:bottom="792" w:left="720" w:header="720" w:footer="720" w:gutter="0"/>
          <w:cols w:space="720"/>
          <w:docGrid w:linePitch="360"/>
        </w:sectPr>
      </w:pPr>
    </w:p>
    <w:p>
      <w:pPr>
        <w:keepNext/>
        <w:spacing w:after="160"/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11887200" cy="8114429"/>
            <wp:docPr id="4" name="Picture 4" descr="Figure S2. Shared-negative GO:BP pathways. Heatmap of pathway NES in OIPN, NC and CC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0" cy="8114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/>
          <w:b/>
        </w:rPr>
        <w:t xml:space="preserve">Figure S2. Shared-negative GO:BP pathways. </w:t>
      </w:r>
      <w:r>
        <w:rPr>
          <w:rFonts w:ascii="Times New Roman" w:hAnsi="Times New Roman"/>
        </w:rPr>
        <w:t>All 18 pathways have negative NES and pathway BH FDR &lt;0.05 in OIPN, NC and CCI. Cells show GSEA normalized enrichment scores (NES); red indicates positive and blue negative enrichment. The symmetric scale is shared across studies and pages; rows are not standardized. An asterisk denotes within-study pathway BH FDR &lt;0.05 across the full eligible GO:BP family. OIPN: GSE160543; NC: GSE246156; CCI: GSE212311.</w:t>
      </w:r>
    </w:p>
    <w:p>
      <w:r>
        <w:rPr>
          <w:rFonts w:ascii="Times New Roman" w:hAnsi="Times New Roman"/>
          <w:sz w:val="20"/>
        </w:rPr>
        <w:t>Gene sets: human MSigDB 2026.1.Hs C5:GO:BP, accessed through msigdbr 26.1.1 and mapped to rat orthologs; overlap size limits 15-500. GO terms overlap. Cross-study enrichment recurrence does not establish cellular origin, functional activation or causality.</w:t>
      </w:r>
    </w:p>
    <w:sectPr w:rsidR="00FC693F" w:rsidRPr="0006063C" w:rsidSect="00034616">
      <w:pgSz w:w="20160" w:h="16377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Times New Roman" w:hAnsi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20"/>
    </w:pPr>
    <w:rPr>
      <w:rFonts w:ascii="Times New Roman" w:hAnsi="Times New Roman"/>
      <w:b w:val="0"/>
      <w:bCs/>
      <w:i w:val="0"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comparative GO BP enrichment</dc:title>
  <dc:subject>Selected genes and shared pathway heatmaps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