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1DD" w:rsidRDefault="00C54629" w:rsidP="00C54629">
      <w:pPr>
        <w:pStyle w:val="Duidelijkcitaat"/>
        <w:rPr>
          <w:sz w:val="36"/>
          <w:szCs w:val="36"/>
        </w:rPr>
      </w:pPr>
      <w:bookmarkStart w:id="0" w:name="_GoBack"/>
      <w:bookmarkEnd w:id="0"/>
      <w:r w:rsidRPr="00C54629">
        <w:rPr>
          <w:sz w:val="36"/>
          <w:szCs w:val="36"/>
        </w:rPr>
        <w:t>I</w:t>
      </w:r>
      <w:r w:rsidR="00AF4E8F" w:rsidRPr="00C54629">
        <w:rPr>
          <w:sz w:val="36"/>
          <w:szCs w:val="36"/>
        </w:rPr>
        <w:t xml:space="preserve">nformation </w:t>
      </w:r>
      <w:r w:rsidRPr="00C54629">
        <w:rPr>
          <w:sz w:val="36"/>
          <w:szCs w:val="36"/>
        </w:rPr>
        <w:t>Security P</w:t>
      </w:r>
      <w:r w:rsidR="00AF4E8F" w:rsidRPr="00C54629">
        <w:rPr>
          <w:sz w:val="36"/>
          <w:szCs w:val="36"/>
        </w:rPr>
        <w:t>olicy</w:t>
      </w:r>
    </w:p>
    <w:p w:rsidR="00C54629" w:rsidRPr="00C54629" w:rsidRDefault="00C54629" w:rsidP="00C54629"/>
    <w:p w:rsidR="00AF4E8F" w:rsidRPr="00C54629" w:rsidRDefault="0096563B" w:rsidP="00C54629">
      <w:pPr>
        <w:pStyle w:val="Kop1"/>
      </w:pPr>
      <w:r>
        <w:t>Wireless Communication Policy</w:t>
      </w:r>
      <w:r w:rsidR="00AF4E8F" w:rsidRPr="00C54629">
        <w:t>:</w:t>
      </w:r>
    </w:p>
    <w:p w:rsidR="0096563B" w:rsidRDefault="009A7427" w:rsidP="0096563B">
      <w:pPr>
        <w:pStyle w:val="Kop2"/>
      </w:pPr>
      <w:r w:rsidRPr="009A7427">
        <w:t xml:space="preserve">Overview </w:t>
      </w:r>
    </w:p>
    <w:p w:rsidR="0096563B" w:rsidRDefault="009A7427" w:rsidP="00AF4E8F">
      <w:pPr>
        <w:rPr>
          <w:lang w:val="en-US"/>
        </w:rPr>
      </w:pPr>
      <w:r w:rsidRPr="009A7427">
        <w:rPr>
          <w:lang w:val="en-US"/>
        </w:rPr>
        <w:t xml:space="preserve">With the mass explosion of Smart Phones and Tablets, pervasive wireless connectivity is almost a given at any organization. Insecure wireless configuration can provide an easy open door for malicious threat actors. </w:t>
      </w:r>
    </w:p>
    <w:p w:rsidR="0096563B" w:rsidRDefault="009A7427" w:rsidP="0096563B">
      <w:pPr>
        <w:pStyle w:val="Kop2"/>
      </w:pPr>
      <w:r w:rsidRPr="009A7427">
        <w:t xml:space="preserve">Purpose </w:t>
      </w:r>
    </w:p>
    <w:p w:rsidR="0096563B" w:rsidRDefault="009A7427" w:rsidP="00AF4E8F">
      <w:pPr>
        <w:rPr>
          <w:lang w:val="en-US"/>
        </w:rPr>
      </w:pPr>
      <w:r w:rsidRPr="009A7427">
        <w:rPr>
          <w:lang w:val="en-US"/>
        </w:rPr>
        <w:t xml:space="preserve">The purpose of this policy is to secure and protect the information assets owned by </w:t>
      </w:r>
      <w:r w:rsidR="00641B07">
        <w:rPr>
          <w:lang w:val="en-US"/>
        </w:rPr>
        <w:t>PXL</w:t>
      </w:r>
      <w:r w:rsidRPr="009A7427">
        <w:rPr>
          <w:lang w:val="en-US"/>
        </w:rPr>
        <w:t xml:space="preserve">. </w:t>
      </w:r>
      <w:r w:rsidR="00CF494A">
        <w:rPr>
          <w:lang w:val="en-US"/>
        </w:rPr>
        <w:t xml:space="preserve">PXL </w:t>
      </w:r>
      <w:r w:rsidRPr="009A7427">
        <w:rPr>
          <w:lang w:val="en-US"/>
        </w:rPr>
        <w:t xml:space="preserve">provides computer devices, networks, and other electronic information systems to meet missions, goals, and initiatives. </w:t>
      </w:r>
      <w:r w:rsidR="00CF494A">
        <w:rPr>
          <w:lang w:val="en-US"/>
        </w:rPr>
        <w:t xml:space="preserve">PXL </w:t>
      </w:r>
      <w:r w:rsidRPr="009A7427">
        <w:rPr>
          <w:lang w:val="en-US"/>
        </w:rPr>
        <w:t xml:space="preserve">grants access to these resources as a privilege and must manage them responsibly to maintain the confidentiality, integrity, and availability of all information assets. </w:t>
      </w:r>
      <w:r w:rsidR="00641B07">
        <w:rPr>
          <w:lang w:val="en-US"/>
        </w:rPr>
        <w:br/>
      </w:r>
      <w:r w:rsidRPr="009A7427">
        <w:rPr>
          <w:lang w:val="en-US"/>
        </w:rPr>
        <w:t xml:space="preserve">This policy specifies the conditions that wireless infrastructure devices must satisfy to connect to </w:t>
      </w:r>
      <w:r w:rsidR="00641B07">
        <w:rPr>
          <w:lang w:val="en-US"/>
        </w:rPr>
        <w:t xml:space="preserve">PXL </w:t>
      </w:r>
      <w:r w:rsidRPr="009A7427">
        <w:rPr>
          <w:lang w:val="en-US"/>
        </w:rPr>
        <w:t>network. Only those wireless infrastructure devices that meet the standards specified in this policy or are granted an exception by the Information Security Department are approved for connectivity to a</w:t>
      </w:r>
      <w:r w:rsidR="00641B07">
        <w:rPr>
          <w:lang w:val="en-US"/>
        </w:rPr>
        <w:t xml:space="preserve"> PXL</w:t>
      </w:r>
      <w:r w:rsidRPr="009A7427">
        <w:rPr>
          <w:lang w:val="en-US"/>
        </w:rPr>
        <w:t xml:space="preserve"> </w:t>
      </w:r>
      <w:r w:rsidR="0096563B">
        <w:rPr>
          <w:lang w:val="en-US"/>
        </w:rPr>
        <w:t xml:space="preserve">network. </w:t>
      </w:r>
    </w:p>
    <w:p w:rsidR="0096563B" w:rsidRDefault="009A7427" w:rsidP="0096563B">
      <w:pPr>
        <w:pStyle w:val="Kop2"/>
      </w:pPr>
      <w:r w:rsidRPr="009A7427">
        <w:t xml:space="preserve">Scope </w:t>
      </w:r>
    </w:p>
    <w:p w:rsidR="00AF4E8F" w:rsidRPr="009A7427" w:rsidRDefault="009A7427" w:rsidP="00AF4E8F">
      <w:pPr>
        <w:rPr>
          <w:lang w:val="en-US"/>
        </w:rPr>
      </w:pPr>
      <w:r w:rsidRPr="009A7427">
        <w:rPr>
          <w:lang w:val="en-US"/>
        </w:rPr>
        <w:t xml:space="preserve">All employees, contractors, consultants, temporary and other workers at </w:t>
      </w:r>
      <w:r w:rsidR="00211A27">
        <w:rPr>
          <w:lang w:val="en-US"/>
        </w:rPr>
        <w:t>PXL</w:t>
      </w:r>
      <w:r w:rsidRPr="009A7427">
        <w:rPr>
          <w:lang w:val="en-US"/>
        </w:rPr>
        <w:t xml:space="preserve">, including all personnel affiliated with third parties that maintain a wireless infrastructure device on behalf of </w:t>
      </w:r>
      <w:r w:rsidR="00211A27">
        <w:rPr>
          <w:lang w:val="en-US"/>
        </w:rPr>
        <w:t xml:space="preserve">PXL </w:t>
      </w:r>
      <w:r w:rsidRPr="009A7427">
        <w:rPr>
          <w:lang w:val="en-US"/>
        </w:rPr>
        <w:t xml:space="preserve">must adhere to this policy. This policy applies to all wireless infrastructure devices that connect to a </w:t>
      </w:r>
      <w:r w:rsidR="00211A27">
        <w:rPr>
          <w:lang w:val="en-US"/>
        </w:rPr>
        <w:t xml:space="preserve">PXL </w:t>
      </w:r>
      <w:r w:rsidRPr="009A7427">
        <w:rPr>
          <w:lang w:val="en-US"/>
        </w:rPr>
        <w:t xml:space="preserve">network or reside on a </w:t>
      </w:r>
      <w:r w:rsidR="00211A27">
        <w:rPr>
          <w:lang w:val="en-US"/>
        </w:rPr>
        <w:t xml:space="preserve">PXL </w:t>
      </w:r>
      <w:r w:rsidRPr="009A7427">
        <w:rPr>
          <w:lang w:val="en-US"/>
        </w:rPr>
        <w:t>site that provide wireless connectivity to endpoint devices including, but not limited to, laptops, desktops, cellular phones, and tablets. This includes any form of wireless communication device capable of transmitting packet data.</w:t>
      </w:r>
      <w:r w:rsidR="00AF4E8F" w:rsidRPr="009A7427">
        <w:rPr>
          <w:lang w:val="en-US"/>
        </w:rPr>
        <w:br/>
      </w:r>
    </w:p>
    <w:p w:rsidR="00AF4E8F" w:rsidRDefault="007D022C" w:rsidP="007D022C">
      <w:pPr>
        <w:pStyle w:val="Kop2"/>
      </w:pPr>
      <w:r>
        <w:t>Policy</w:t>
      </w:r>
      <w:r w:rsidR="00AF4E8F">
        <w:t xml:space="preserve"> </w:t>
      </w:r>
    </w:p>
    <w:p w:rsidR="0085442B" w:rsidRDefault="006C367F" w:rsidP="007D022C">
      <w:pPr>
        <w:rPr>
          <w:lang w:val="en-US"/>
        </w:rPr>
      </w:pPr>
      <w:r w:rsidRPr="006C367F">
        <w:rPr>
          <w:rStyle w:val="Kop3Char"/>
        </w:rPr>
        <w:t>General Requirements</w:t>
      </w:r>
      <w:r w:rsidRPr="006C367F">
        <w:rPr>
          <w:lang w:val="en-US"/>
        </w:rPr>
        <w:br/>
        <w:t xml:space="preserve">All wireless infrastructure devices that reside at a </w:t>
      </w:r>
      <w:r w:rsidR="00403581">
        <w:rPr>
          <w:lang w:val="en-US"/>
        </w:rPr>
        <w:t xml:space="preserve">PXL </w:t>
      </w:r>
      <w:r w:rsidRPr="006C367F">
        <w:rPr>
          <w:lang w:val="en-US"/>
        </w:rPr>
        <w:t xml:space="preserve">site and connect to a </w:t>
      </w:r>
      <w:r w:rsidR="0085442B">
        <w:rPr>
          <w:lang w:val="en-US"/>
        </w:rPr>
        <w:t xml:space="preserve">PXL </w:t>
      </w:r>
      <w:r w:rsidRPr="006C367F">
        <w:rPr>
          <w:lang w:val="en-US"/>
        </w:rPr>
        <w:t xml:space="preserve">network, or provide access to information classified as </w:t>
      </w:r>
      <w:r w:rsidR="0085442B">
        <w:rPr>
          <w:lang w:val="en-US"/>
        </w:rPr>
        <w:t xml:space="preserve">PXL </w:t>
      </w:r>
      <w:r w:rsidRPr="006C367F">
        <w:rPr>
          <w:lang w:val="en-US"/>
        </w:rPr>
        <w:t xml:space="preserve">Confidential, or above must: </w:t>
      </w:r>
      <w:r>
        <w:rPr>
          <w:lang w:val="en-US"/>
        </w:rPr>
        <w:br/>
      </w:r>
      <w:r>
        <w:sym w:font="Symbol" w:char="F0B7"/>
      </w:r>
      <w:r w:rsidRPr="006C367F">
        <w:rPr>
          <w:lang w:val="en-US"/>
        </w:rPr>
        <w:t xml:space="preserve"> Abide by the standards specified in the Wireless Communication Standard. </w:t>
      </w:r>
      <w:r>
        <w:rPr>
          <w:lang w:val="en-US"/>
        </w:rPr>
        <w:br/>
      </w:r>
      <w:r>
        <w:sym w:font="Symbol" w:char="F0B7"/>
      </w:r>
      <w:r w:rsidRPr="006C367F">
        <w:rPr>
          <w:lang w:val="en-US"/>
        </w:rPr>
        <w:t xml:space="preserve"> Be installed, supported, and maintained by an approved support team. </w:t>
      </w:r>
      <w:r>
        <w:rPr>
          <w:lang w:val="en-US"/>
        </w:rPr>
        <w:br/>
      </w:r>
      <w:r>
        <w:sym w:font="Symbol" w:char="F0B7"/>
      </w:r>
      <w:r w:rsidRPr="006C367F">
        <w:rPr>
          <w:lang w:val="en-US"/>
        </w:rPr>
        <w:t xml:space="preserve"> Use </w:t>
      </w:r>
      <w:r w:rsidR="0085442B">
        <w:rPr>
          <w:lang w:val="en-US"/>
        </w:rPr>
        <w:t xml:space="preserve">PXL </w:t>
      </w:r>
      <w:r w:rsidRPr="006C367F">
        <w:rPr>
          <w:lang w:val="en-US"/>
        </w:rPr>
        <w:t xml:space="preserve">approved authentication protocols and infrastructure. </w:t>
      </w:r>
      <w:r>
        <w:rPr>
          <w:lang w:val="en-US"/>
        </w:rPr>
        <w:br/>
      </w:r>
      <w:r>
        <w:sym w:font="Symbol" w:char="F0B7"/>
      </w:r>
      <w:r w:rsidRPr="006C367F">
        <w:rPr>
          <w:lang w:val="en-US"/>
        </w:rPr>
        <w:t xml:space="preserve"> Use </w:t>
      </w:r>
      <w:r w:rsidR="0085442B">
        <w:rPr>
          <w:lang w:val="en-US"/>
        </w:rPr>
        <w:t xml:space="preserve">PXL </w:t>
      </w:r>
      <w:r w:rsidRPr="006C367F">
        <w:rPr>
          <w:lang w:val="en-US"/>
        </w:rPr>
        <w:t xml:space="preserve">approved encryption protocols. </w:t>
      </w:r>
      <w:r>
        <w:rPr>
          <w:lang w:val="en-US"/>
        </w:rPr>
        <w:br/>
      </w:r>
      <w:r>
        <w:sym w:font="Symbol" w:char="F0B7"/>
      </w:r>
      <w:r w:rsidRPr="006C367F">
        <w:rPr>
          <w:lang w:val="en-US"/>
        </w:rPr>
        <w:t xml:space="preserve"> Maintain a hardware address (MAC address) that can be registered and tracked. </w:t>
      </w:r>
      <w:r>
        <w:rPr>
          <w:lang w:val="en-US"/>
        </w:rPr>
        <w:br/>
      </w:r>
      <w:r>
        <w:sym w:font="Symbol" w:char="F0B7"/>
      </w:r>
      <w:r w:rsidRPr="006C367F">
        <w:rPr>
          <w:lang w:val="en-US"/>
        </w:rPr>
        <w:t xml:space="preserve"> Not interfere with wireless access deployments maintained by other support organizations</w:t>
      </w:r>
      <w:r w:rsidR="00272A13">
        <w:rPr>
          <w:lang w:val="en-US"/>
        </w:rPr>
        <w:t>.</w:t>
      </w:r>
    </w:p>
    <w:p w:rsidR="0085442B" w:rsidRDefault="0085442B" w:rsidP="0085442B">
      <w:pPr>
        <w:rPr>
          <w:lang w:val="en-US"/>
        </w:rPr>
      </w:pPr>
      <w:r>
        <w:rPr>
          <w:lang w:val="en-US"/>
        </w:rPr>
        <w:br w:type="page"/>
      </w:r>
    </w:p>
    <w:p w:rsidR="007D022C" w:rsidRDefault="0085442B" w:rsidP="0085442B">
      <w:pPr>
        <w:pStyle w:val="Kop3"/>
        <w:numPr>
          <w:ilvl w:val="0"/>
          <w:numId w:val="0"/>
        </w:numPr>
        <w:ind w:left="720" w:hanging="720"/>
      </w:pPr>
      <w:r w:rsidRPr="0085442B">
        <w:lastRenderedPageBreak/>
        <w:t>Lab and Isolated Wireless Device Requirements</w:t>
      </w:r>
    </w:p>
    <w:p w:rsidR="0085442B" w:rsidRDefault="0085442B" w:rsidP="0085442B">
      <w:pPr>
        <w:rPr>
          <w:lang w:val="en-US"/>
        </w:rPr>
      </w:pPr>
      <w:r w:rsidRPr="0085442B">
        <w:rPr>
          <w:lang w:val="en-US"/>
        </w:rPr>
        <w:t xml:space="preserve">All lab wireless infrastructure devices that provide access to </w:t>
      </w:r>
      <w:r>
        <w:rPr>
          <w:lang w:val="en-US"/>
        </w:rPr>
        <w:t xml:space="preserve">PXL </w:t>
      </w:r>
      <w:r w:rsidRPr="0085442B">
        <w:rPr>
          <w:lang w:val="en-US"/>
        </w:rPr>
        <w:t xml:space="preserve">Confidential or above, must adhere to section 4.1 above. Lab and isolated wireless devices that do not provide general network connectivity to the </w:t>
      </w:r>
      <w:r>
        <w:rPr>
          <w:lang w:val="en-US"/>
        </w:rPr>
        <w:t xml:space="preserve">PXL </w:t>
      </w:r>
      <w:r w:rsidRPr="0085442B">
        <w:rPr>
          <w:lang w:val="en-US"/>
        </w:rPr>
        <w:t xml:space="preserve">network must: </w:t>
      </w:r>
      <w:r>
        <w:rPr>
          <w:lang w:val="en-US"/>
        </w:rPr>
        <w:br/>
      </w:r>
      <w:r>
        <w:sym w:font="Symbol" w:char="F0B7"/>
      </w:r>
      <w:r w:rsidRPr="0085442B">
        <w:rPr>
          <w:lang w:val="en-US"/>
        </w:rPr>
        <w:t xml:space="preserve"> Be isolated from the corporate network (that is it must not provide any corporate connectivity) and comply with the Lab Security Policy. </w:t>
      </w:r>
      <w:r>
        <w:rPr>
          <w:lang w:val="en-US"/>
        </w:rPr>
        <w:br/>
      </w:r>
      <w:r>
        <w:sym w:font="Symbol" w:char="F0B7"/>
      </w:r>
      <w:r w:rsidRPr="0085442B">
        <w:rPr>
          <w:lang w:val="en-US"/>
        </w:rPr>
        <w:t xml:space="preserve"> Not interfere with wireless access deployments maintained by other support organizations.</w:t>
      </w:r>
    </w:p>
    <w:p w:rsidR="00836E4F" w:rsidRDefault="00836E4F" w:rsidP="0085442B">
      <w:pPr>
        <w:rPr>
          <w:lang w:val="en-US"/>
        </w:rPr>
      </w:pPr>
    </w:p>
    <w:p w:rsidR="00836E4F" w:rsidRDefault="00836E4F" w:rsidP="0085442B">
      <w:pPr>
        <w:rPr>
          <w:lang w:val="en-US"/>
        </w:rPr>
      </w:pPr>
    </w:p>
    <w:p w:rsidR="00226602" w:rsidRDefault="00226602" w:rsidP="00226602">
      <w:pPr>
        <w:pStyle w:val="Kop1"/>
      </w:pPr>
      <w:r>
        <w:t>Remote Access Policy</w:t>
      </w:r>
    </w:p>
    <w:p w:rsidR="00226602" w:rsidRDefault="00226602" w:rsidP="00226602">
      <w:pPr>
        <w:pStyle w:val="Kop2"/>
      </w:pPr>
      <w:r>
        <w:t>Overview</w:t>
      </w:r>
    </w:p>
    <w:p w:rsidR="00226602" w:rsidRDefault="00226602" w:rsidP="00226602">
      <w:pPr>
        <w:rPr>
          <w:lang w:val="en-US"/>
        </w:rPr>
      </w:pPr>
      <w:r w:rsidRPr="00226602">
        <w:rPr>
          <w:lang w:val="en-US"/>
        </w:rPr>
        <w:t>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Hypergolic Reactions, LLC policy, we must mitigate these external risks the best of our ability.</w:t>
      </w:r>
    </w:p>
    <w:p w:rsidR="00226602" w:rsidRDefault="00226602" w:rsidP="00226602">
      <w:pPr>
        <w:pStyle w:val="Kop2"/>
      </w:pPr>
      <w:r>
        <w:t>Purpose</w:t>
      </w:r>
    </w:p>
    <w:p w:rsidR="00226602" w:rsidRDefault="00226602" w:rsidP="00226602">
      <w:pPr>
        <w:rPr>
          <w:lang w:val="en-US"/>
        </w:rPr>
      </w:pPr>
      <w:r w:rsidRPr="00226602">
        <w:rPr>
          <w:lang w:val="en-US"/>
        </w:rPr>
        <w:t xml:space="preserve">The purpose of this policy is to define rules and requirements for connecting to </w:t>
      </w:r>
      <w:r>
        <w:rPr>
          <w:lang w:val="en-US"/>
        </w:rPr>
        <w:t>PXL</w:t>
      </w:r>
      <w:r w:rsidRPr="00226602">
        <w:rPr>
          <w:lang w:val="en-US"/>
        </w:rPr>
        <w:t xml:space="preserve">'s network from any host. These rules and requirements are designed to minimize the potential exposure to </w:t>
      </w:r>
      <w:r>
        <w:rPr>
          <w:lang w:val="en-US"/>
        </w:rPr>
        <w:t xml:space="preserve">PXL </w:t>
      </w:r>
      <w:r w:rsidRPr="00226602">
        <w:rPr>
          <w:lang w:val="en-US"/>
        </w:rPr>
        <w:t xml:space="preserve">from damages which may result from unauthorized use of </w:t>
      </w:r>
      <w:r>
        <w:rPr>
          <w:lang w:val="en-US"/>
        </w:rPr>
        <w:t xml:space="preserve">PXL </w:t>
      </w:r>
      <w:r w:rsidRPr="00226602">
        <w:rPr>
          <w:lang w:val="en-US"/>
        </w:rPr>
        <w:t xml:space="preserve">resources. Damages include the loss of sensitive or company confidential data, intellectual property, damage to public image, damage to critical </w:t>
      </w:r>
      <w:r>
        <w:rPr>
          <w:lang w:val="en-US"/>
        </w:rPr>
        <w:t xml:space="preserve">PXL </w:t>
      </w:r>
      <w:r w:rsidRPr="00226602">
        <w:rPr>
          <w:lang w:val="en-US"/>
        </w:rPr>
        <w:t>internal systems, and fines or other financial liabilities incurred as a result of those losses.</w:t>
      </w:r>
    </w:p>
    <w:p w:rsidR="00226602" w:rsidRDefault="00226602" w:rsidP="00226602">
      <w:pPr>
        <w:pStyle w:val="Kop2"/>
      </w:pPr>
      <w:r>
        <w:t>Scope</w:t>
      </w:r>
    </w:p>
    <w:p w:rsidR="00226602" w:rsidRDefault="00226602" w:rsidP="00226602">
      <w:pPr>
        <w:rPr>
          <w:lang w:val="en-US"/>
        </w:rPr>
      </w:pPr>
      <w:r w:rsidRPr="00226602">
        <w:rPr>
          <w:lang w:val="en-US"/>
        </w:rPr>
        <w:t xml:space="preserve">This policy applies to all </w:t>
      </w:r>
      <w:r>
        <w:rPr>
          <w:lang w:val="en-US"/>
        </w:rPr>
        <w:t xml:space="preserve">PXL </w:t>
      </w:r>
      <w:r w:rsidRPr="00226602">
        <w:rPr>
          <w:lang w:val="en-US"/>
        </w:rPr>
        <w:t>employees, contractors, vendors and agents with a -owned or personally</w:t>
      </w:r>
      <w:r>
        <w:rPr>
          <w:lang w:val="en-US"/>
        </w:rPr>
        <w:t xml:space="preserve"> PXL</w:t>
      </w:r>
      <w:r w:rsidRPr="00226602">
        <w:rPr>
          <w:lang w:val="en-US"/>
        </w:rPr>
        <w:t xml:space="preserve">-owned computer or workstation used to connect to the </w:t>
      </w:r>
      <w:r>
        <w:rPr>
          <w:lang w:val="en-US"/>
        </w:rPr>
        <w:t xml:space="preserve">PXL </w:t>
      </w:r>
      <w:r w:rsidRPr="00226602">
        <w:rPr>
          <w:lang w:val="en-US"/>
        </w:rPr>
        <w:t xml:space="preserve">network. This policy applies to remote access connections used to do work on behalf of </w:t>
      </w:r>
      <w:r>
        <w:rPr>
          <w:lang w:val="en-US"/>
        </w:rPr>
        <w:t>PXL</w:t>
      </w:r>
      <w:r w:rsidRPr="00226602">
        <w:rPr>
          <w:lang w:val="en-US"/>
        </w:rPr>
        <w:t xml:space="preserve">, including reading or sending email and viewing intranet web resources. This policy covers any and all technical implementations of remote access used to connect to </w:t>
      </w:r>
      <w:r>
        <w:rPr>
          <w:lang w:val="en-US"/>
        </w:rPr>
        <w:t xml:space="preserve">PXL </w:t>
      </w:r>
      <w:r w:rsidRPr="00226602">
        <w:rPr>
          <w:lang w:val="en-US"/>
        </w:rPr>
        <w:t>networks.</w:t>
      </w:r>
    </w:p>
    <w:p w:rsidR="00226602" w:rsidRDefault="00226602" w:rsidP="00226602">
      <w:pPr>
        <w:pStyle w:val="Kop2"/>
      </w:pPr>
      <w:r>
        <w:t>Policy</w:t>
      </w:r>
    </w:p>
    <w:p w:rsidR="00226602" w:rsidRDefault="00226602" w:rsidP="00226602">
      <w:pPr>
        <w:rPr>
          <w:lang w:val="en-US"/>
        </w:rPr>
      </w:pPr>
      <w:r w:rsidRPr="00226602">
        <w:rPr>
          <w:lang w:val="en-US"/>
        </w:rPr>
        <w:t xml:space="preserve">It is the responsibility of </w:t>
      </w:r>
      <w:r>
        <w:rPr>
          <w:lang w:val="en-US"/>
        </w:rPr>
        <w:t xml:space="preserve">PXL </w:t>
      </w:r>
      <w:r w:rsidRPr="00226602">
        <w:rPr>
          <w:lang w:val="en-US"/>
        </w:rPr>
        <w:t xml:space="preserve">employees, contractors, vendors and agents with remote access privileges to </w:t>
      </w:r>
      <w:r>
        <w:rPr>
          <w:lang w:val="en-US"/>
        </w:rPr>
        <w:t>PXL</w:t>
      </w:r>
      <w:r w:rsidRPr="00226602">
        <w:rPr>
          <w:lang w:val="en-US"/>
        </w:rPr>
        <w:t xml:space="preserve">'s corporate network to ensure that their remote access connection is given the same consideration as the user's on-site connection to </w:t>
      </w:r>
      <w:r>
        <w:rPr>
          <w:lang w:val="en-US"/>
        </w:rPr>
        <w:t>PXL</w:t>
      </w:r>
      <w:r w:rsidRPr="00226602">
        <w:rPr>
          <w:lang w:val="en-US"/>
        </w:rPr>
        <w:t xml:space="preserve">. </w:t>
      </w:r>
    </w:p>
    <w:p w:rsidR="00226602" w:rsidRDefault="00226602" w:rsidP="00226602">
      <w:pPr>
        <w:rPr>
          <w:lang w:val="en-US"/>
        </w:rPr>
      </w:pPr>
      <w:r w:rsidRPr="00226602">
        <w:rPr>
          <w:lang w:val="en-US"/>
        </w:rPr>
        <w:t xml:space="preserve">General access to the Internet for recreational use through the </w:t>
      </w:r>
      <w:r>
        <w:rPr>
          <w:lang w:val="en-US"/>
        </w:rPr>
        <w:t xml:space="preserve">PXL </w:t>
      </w:r>
      <w:r w:rsidRPr="00226602">
        <w:rPr>
          <w:lang w:val="en-US"/>
        </w:rPr>
        <w:t xml:space="preserve">network is strictly limited to </w:t>
      </w:r>
      <w:r>
        <w:rPr>
          <w:lang w:val="en-US"/>
        </w:rPr>
        <w:t xml:space="preserve">PXL </w:t>
      </w:r>
      <w:r w:rsidRPr="00226602">
        <w:rPr>
          <w:lang w:val="en-US"/>
        </w:rPr>
        <w:t xml:space="preserve">employees, contractors, vendors and agents (hereafter referred to as “Authorized Users”). When accessing the </w:t>
      </w:r>
      <w:r>
        <w:rPr>
          <w:lang w:val="en-US"/>
        </w:rPr>
        <w:t xml:space="preserve">PXL </w:t>
      </w:r>
      <w:r w:rsidRPr="00226602">
        <w:rPr>
          <w:lang w:val="en-US"/>
        </w:rPr>
        <w:t xml:space="preserve">network from a personal computer, Authorized Users are responsible for preventing access to any </w:t>
      </w:r>
      <w:r>
        <w:rPr>
          <w:lang w:val="en-US"/>
        </w:rPr>
        <w:t xml:space="preserve">PXL </w:t>
      </w:r>
      <w:r w:rsidRPr="00226602">
        <w:rPr>
          <w:lang w:val="en-US"/>
        </w:rPr>
        <w:t xml:space="preserve">computer resources or data by non-Authorized Users. Performance of illegal activities through the </w:t>
      </w:r>
      <w:r>
        <w:rPr>
          <w:lang w:val="en-US"/>
        </w:rPr>
        <w:t xml:space="preserve">PXL </w:t>
      </w:r>
      <w:r w:rsidRPr="00226602">
        <w:rPr>
          <w:lang w:val="en-US"/>
        </w:rPr>
        <w:t xml:space="preserve">network by any user (Authorized or otherwise) is prohibited. The Authorized User bears responsibility for and consequences of misuse of the Authorized User’s access. For further information and definitions, see the Acceptable Use Policy. </w:t>
      </w:r>
    </w:p>
    <w:p w:rsidR="00226602" w:rsidRDefault="00226602" w:rsidP="00226602">
      <w:pPr>
        <w:rPr>
          <w:lang w:val="en-US"/>
        </w:rPr>
      </w:pPr>
      <w:r w:rsidRPr="00226602">
        <w:rPr>
          <w:lang w:val="en-US"/>
        </w:rPr>
        <w:t xml:space="preserve">Authorized Users will not use </w:t>
      </w:r>
      <w:r>
        <w:rPr>
          <w:lang w:val="en-US"/>
        </w:rPr>
        <w:t xml:space="preserve">PXL </w:t>
      </w:r>
      <w:r w:rsidRPr="00226602">
        <w:rPr>
          <w:lang w:val="en-US"/>
        </w:rPr>
        <w:t>networks to access the Internet for outside business interests.</w:t>
      </w:r>
    </w:p>
    <w:p w:rsidR="00EC2819" w:rsidRDefault="00EC2819" w:rsidP="00EC2819">
      <w:pPr>
        <w:pStyle w:val="Kop1"/>
      </w:pPr>
      <w:r>
        <w:lastRenderedPageBreak/>
        <w:t>Email Policy</w:t>
      </w:r>
    </w:p>
    <w:p w:rsidR="00EC2819" w:rsidRDefault="00EC2819" w:rsidP="00EC2819">
      <w:pPr>
        <w:pStyle w:val="Kop2"/>
      </w:pPr>
      <w:r>
        <w:t>Overview</w:t>
      </w:r>
    </w:p>
    <w:p w:rsidR="00EC2819" w:rsidRPr="00992932" w:rsidRDefault="00992932" w:rsidP="00EC2819">
      <w:pPr>
        <w:rPr>
          <w:lang w:val="en-US"/>
        </w:rPr>
      </w:pPr>
      <w:r w:rsidRPr="00992932">
        <w:rPr>
          <w:lang w:val="en-US"/>
        </w:rPr>
        <w:t>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w:t>
      </w:r>
    </w:p>
    <w:p w:rsidR="00EC2819" w:rsidRDefault="00EC2819" w:rsidP="00EC2819">
      <w:pPr>
        <w:pStyle w:val="Kop2"/>
      </w:pPr>
      <w:r>
        <w:t>Purpose</w:t>
      </w:r>
    </w:p>
    <w:p w:rsidR="00EC2819" w:rsidRPr="00992932" w:rsidRDefault="00992932" w:rsidP="00EC2819">
      <w:pPr>
        <w:rPr>
          <w:lang w:val="en-US"/>
        </w:rPr>
      </w:pPr>
      <w:r w:rsidRPr="00992932">
        <w:rPr>
          <w:lang w:val="en-US"/>
        </w:rPr>
        <w:t xml:space="preserve">The purpose of this email policy is to ensure the proper use of </w:t>
      </w:r>
      <w:r>
        <w:rPr>
          <w:lang w:val="en-US"/>
        </w:rPr>
        <w:t xml:space="preserve">PXL </w:t>
      </w:r>
      <w:r w:rsidRPr="00992932">
        <w:rPr>
          <w:lang w:val="en-US"/>
        </w:rPr>
        <w:t xml:space="preserve">email system and make users aware of what </w:t>
      </w:r>
      <w:r>
        <w:rPr>
          <w:lang w:val="en-US"/>
        </w:rPr>
        <w:t xml:space="preserve">PXL </w:t>
      </w:r>
      <w:r w:rsidRPr="00992932">
        <w:rPr>
          <w:lang w:val="en-US"/>
        </w:rPr>
        <w:t xml:space="preserve">deems as acceptable and unacceptable use of its email system. This policy outlines the minimum requirements for use of email within </w:t>
      </w:r>
      <w:r>
        <w:rPr>
          <w:lang w:val="en-US"/>
        </w:rPr>
        <w:t xml:space="preserve">PXL </w:t>
      </w:r>
      <w:r w:rsidRPr="00992932">
        <w:rPr>
          <w:lang w:val="en-US"/>
        </w:rPr>
        <w:t>Network.</w:t>
      </w:r>
    </w:p>
    <w:p w:rsidR="00EC2819" w:rsidRDefault="00EC2819" w:rsidP="00EC2819">
      <w:pPr>
        <w:pStyle w:val="Kop2"/>
      </w:pPr>
      <w:r>
        <w:t>Scope</w:t>
      </w:r>
    </w:p>
    <w:p w:rsidR="00EC2819" w:rsidRPr="00992932" w:rsidRDefault="00992932" w:rsidP="00EC2819">
      <w:pPr>
        <w:rPr>
          <w:lang w:val="en-US"/>
        </w:rPr>
      </w:pPr>
      <w:r w:rsidRPr="00992932">
        <w:rPr>
          <w:lang w:val="en-US"/>
        </w:rPr>
        <w:t xml:space="preserve">This policy covers appropriate use of any email sent from a </w:t>
      </w:r>
      <w:r>
        <w:rPr>
          <w:lang w:val="en-US"/>
        </w:rPr>
        <w:t xml:space="preserve">PXL </w:t>
      </w:r>
      <w:r w:rsidRPr="00992932">
        <w:rPr>
          <w:lang w:val="en-US"/>
        </w:rPr>
        <w:t xml:space="preserve">email address and applies to all employees, vendors, and agents operating on behalf of </w:t>
      </w:r>
      <w:r>
        <w:rPr>
          <w:lang w:val="en-US"/>
        </w:rPr>
        <w:t>PXL</w:t>
      </w:r>
      <w:r w:rsidRPr="00992932">
        <w:rPr>
          <w:lang w:val="en-US"/>
        </w:rPr>
        <w:t>.</w:t>
      </w:r>
    </w:p>
    <w:p w:rsidR="00EC2819" w:rsidRDefault="00EC2819" w:rsidP="00EC2819">
      <w:pPr>
        <w:pStyle w:val="Kop2"/>
      </w:pPr>
      <w:r>
        <w:t>Policy</w:t>
      </w:r>
    </w:p>
    <w:p w:rsidR="00843DF7" w:rsidRPr="00571E14" w:rsidRDefault="0073194A" w:rsidP="00F53BFD">
      <w:pPr>
        <w:rPr>
          <w:lang w:val="en-US"/>
        </w:rPr>
      </w:pPr>
      <w:r>
        <w:sym w:font="Symbol" w:char="F0B7"/>
      </w:r>
      <w:r w:rsidRPr="0085442B">
        <w:rPr>
          <w:lang w:val="en-US"/>
        </w:rPr>
        <w:t xml:space="preserve"> </w:t>
      </w:r>
      <w:r w:rsidR="00CF3DD5" w:rsidRPr="00CF3DD5">
        <w:rPr>
          <w:lang w:val="en-US"/>
        </w:rPr>
        <w:t xml:space="preserve">All use of email must be consistent with </w:t>
      </w:r>
      <w:r w:rsidR="00CF3DD5">
        <w:rPr>
          <w:lang w:val="en-US"/>
        </w:rPr>
        <w:t xml:space="preserve">PXL </w:t>
      </w:r>
      <w:r w:rsidR="00CF3DD5" w:rsidRPr="00CF3DD5">
        <w:rPr>
          <w:lang w:val="en-US"/>
        </w:rPr>
        <w:t>policies and procedures of ethical conduct, safety, compliance with applicable laws and proper business practices.</w:t>
      </w:r>
      <w:r w:rsidR="00A7507D">
        <w:rPr>
          <w:lang w:val="en-US"/>
        </w:rPr>
        <w:br/>
      </w:r>
      <w:r>
        <w:sym w:font="Symbol" w:char="F0B7"/>
      </w:r>
      <w:r w:rsidRPr="0085442B">
        <w:rPr>
          <w:lang w:val="en-US"/>
        </w:rPr>
        <w:t xml:space="preserve"> </w:t>
      </w:r>
      <w:r w:rsidR="00A7507D">
        <w:rPr>
          <w:lang w:val="en-US"/>
        </w:rPr>
        <w:t xml:space="preserve">PXL </w:t>
      </w:r>
      <w:r w:rsidR="00A7507D" w:rsidRPr="00A7507D">
        <w:rPr>
          <w:lang w:val="en-US"/>
        </w:rPr>
        <w:t xml:space="preserve">email account should be used primarily for </w:t>
      </w:r>
      <w:r w:rsidR="00A7507D">
        <w:rPr>
          <w:lang w:val="en-US"/>
        </w:rPr>
        <w:t xml:space="preserve">PXL </w:t>
      </w:r>
      <w:r w:rsidR="00A7507D" w:rsidRPr="00A7507D">
        <w:rPr>
          <w:lang w:val="en-US"/>
        </w:rPr>
        <w:t>business</w:t>
      </w:r>
      <w:r w:rsidR="00A7507D">
        <w:rPr>
          <w:lang w:val="en-US"/>
        </w:rPr>
        <w:t>-</w:t>
      </w:r>
      <w:r w:rsidR="00A7507D" w:rsidRPr="00A7507D">
        <w:rPr>
          <w:lang w:val="en-US"/>
        </w:rPr>
        <w:t>related purposes; personal communication is permitted on a limited basis, but non-</w:t>
      </w:r>
      <w:r w:rsidR="00A7507D">
        <w:rPr>
          <w:lang w:val="en-US"/>
        </w:rPr>
        <w:t>PXL</w:t>
      </w:r>
      <w:r w:rsidR="00A7507D" w:rsidRPr="00A7507D">
        <w:rPr>
          <w:lang w:val="en-US"/>
        </w:rPr>
        <w:t xml:space="preserve"> related commercial uses are prohibited.</w:t>
      </w:r>
      <w:r w:rsidR="008A5609">
        <w:rPr>
          <w:lang w:val="en-US"/>
        </w:rPr>
        <w:br/>
      </w:r>
      <w:r w:rsidR="008A5609">
        <w:sym w:font="Symbol" w:char="F0B7"/>
      </w:r>
      <w:r w:rsidR="008A5609" w:rsidRPr="008A5609">
        <w:rPr>
          <w:lang w:val="en-US"/>
        </w:rPr>
        <w:t xml:space="preserve"> All </w:t>
      </w:r>
      <w:r w:rsidR="008A5609">
        <w:rPr>
          <w:lang w:val="en-US"/>
        </w:rPr>
        <w:t xml:space="preserve">PXL </w:t>
      </w:r>
      <w:r w:rsidR="008A5609" w:rsidRPr="008A5609">
        <w:rPr>
          <w:lang w:val="en-US"/>
        </w:rPr>
        <w:t>data contained within an email message or an attachment must be secured according to the Data Protection Standard.</w:t>
      </w:r>
      <w:r w:rsidR="008A5609">
        <w:rPr>
          <w:lang w:val="en-US"/>
        </w:rPr>
        <w:br/>
      </w:r>
      <w:r w:rsidR="008A5609">
        <w:sym w:font="Symbol" w:char="F0B7"/>
      </w:r>
      <w:r w:rsidR="008A5609" w:rsidRPr="008A5609">
        <w:rPr>
          <w:lang w:val="en-US"/>
        </w:rPr>
        <w:t xml:space="preserve"> Email should be retained only if it qualifies as a </w:t>
      </w:r>
      <w:r w:rsidR="008A5609">
        <w:rPr>
          <w:lang w:val="en-US"/>
        </w:rPr>
        <w:t xml:space="preserve">PXL </w:t>
      </w:r>
      <w:r w:rsidR="008A5609" w:rsidRPr="008A5609">
        <w:rPr>
          <w:lang w:val="en-US"/>
        </w:rPr>
        <w:t xml:space="preserve">business record. Email is a </w:t>
      </w:r>
      <w:r w:rsidR="008A5609">
        <w:rPr>
          <w:lang w:val="en-US"/>
        </w:rPr>
        <w:t xml:space="preserve">PXL </w:t>
      </w:r>
      <w:r w:rsidR="008A5609" w:rsidRPr="008A5609">
        <w:rPr>
          <w:lang w:val="en-US"/>
        </w:rPr>
        <w:t>business record if there exists a legitimate and ongoing business reason to preserve the information contained in the email.</w:t>
      </w:r>
      <w:r w:rsidR="008A5609" w:rsidRPr="008A5609">
        <w:rPr>
          <w:lang w:val="en-US"/>
        </w:rPr>
        <w:br/>
      </w:r>
    </w:p>
    <w:p w:rsidR="00843DF7" w:rsidRDefault="00843DF7" w:rsidP="00652FFC">
      <w:pPr>
        <w:pStyle w:val="Kop1"/>
      </w:pPr>
      <w:r>
        <w:br w:type="page"/>
      </w:r>
    </w:p>
    <w:p w:rsidR="00F53BFD" w:rsidRDefault="00652FFC" w:rsidP="00652FFC">
      <w:pPr>
        <w:pStyle w:val="Kop1"/>
      </w:pPr>
      <w:r>
        <w:lastRenderedPageBreak/>
        <w:t>Password Construction Guidelines</w:t>
      </w:r>
    </w:p>
    <w:p w:rsidR="00652FFC" w:rsidRDefault="00652FFC" w:rsidP="00652FFC">
      <w:pPr>
        <w:pStyle w:val="Kop2"/>
      </w:pPr>
      <w:r>
        <w:t>Overview</w:t>
      </w:r>
    </w:p>
    <w:p w:rsidR="00F10B64" w:rsidRPr="00F10B64" w:rsidRDefault="00F10B64" w:rsidP="00F10B64">
      <w:pPr>
        <w:rPr>
          <w:lang w:val="en-US"/>
        </w:rPr>
      </w:pPr>
      <w:r w:rsidRPr="00F10B64">
        <w:rPr>
          <w:lang w:val="en-US"/>
        </w:rPr>
        <w:t xml:space="preserve">Passwords are a critical component of information security. Passwords serve to protect user accounts; however, a poorly constructed password may result in the compromise of individual systems, data, or the Cisco network. </w:t>
      </w:r>
      <w:proofErr w:type="spellStart"/>
      <w:r>
        <w:t>This</w:t>
      </w:r>
      <w:proofErr w:type="spellEnd"/>
      <w:r>
        <w:t xml:space="preserve"> guideline </w:t>
      </w:r>
      <w:proofErr w:type="spellStart"/>
      <w:r>
        <w:t>provides</w:t>
      </w:r>
      <w:proofErr w:type="spellEnd"/>
      <w:r>
        <w:t xml:space="preserve"> best </w:t>
      </w:r>
      <w:proofErr w:type="spellStart"/>
      <w:r>
        <w:t>practices</w:t>
      </w:r>
      <w:proofErr w:type="spellEnd"/>
      <w:r>
        <w:t xml:space="preserve"> </w:t>
      </w:r>
      <w:proofErr w:type="spellStart"/>
      <w:r>
        <w:t>for</w:t>
      </w:r>
      <w:proofErr w:type="spellEnd"/>
      <w:r>
        <w:t xml:space="preserve"> </w:t>
      </w:r>
      <w:proofErr w:type="spellStart"/>
      <w:r>
        <w:t>creating</w:t>
      </w:r>
      <w:proofErr w:type="spellEnd"/>
      <w:r>
        <w:t xml:space="preserve"> secure </w:t>
      </w:r>
      <w:proofErr w:type="spellStart"/>
      <w:r>
        <w:t>passwords</w:t>
      </w:r>
      <w:proofErr w:type="spellEnd"/>
      <w:r>
        <w:t>.</w:t>
      </w:r>
    </w:p>
    <w:p w:rsidR="00652FFC" w:rsidRDefault="00652FFC" w:rsidP="00652FFC">
      <w:pPr>
        <w:pStyle w:val="Kop2"/>
      </w:pPr>
      <w:r>
        <w:t>Purpose</w:t>
      </w:r>
    </w:p>
    <w:p w:rsidR="00F10B64" w:rsidRPr="00911AB6" w:rsidRDefault="00911AB6" w:rsidP="00F10B64">
      <w:pPr>
        <w:rPr>
          <w:lang w:val="en-US"/>
        </w:rPr>
      </w:pPr>
      <w:r w:rsidRPr="00911AB6">
        <w:rPr>
          <w:lang w:val="en-US"/>
        </w:rPr>
        <w:t>The purpose of this guidelines is to provide best practices for the created of strong passwords</w:t>
      </w:r>
    </w:p>
    <w:p w:rsidR="00652FFC" w:rsidRDefault="00652FFC" w:rsidP="00652FFC">
      <w:pPr>
        <w:pStyle w:val="Kop2"/>
      </w:pPr>
      <w:r>
        <w:t>Scope</w:t>
      </w:r>
    </w:p>
    <w:p w:rsidR="00911AB6" w:rsidRPr="003E1EC9" w:rsidRDefault="003E1EC9" w:rsidP="00911AB6">
      <w:pPr>
        <w:rPr>
          <w:lang w:val="en-US"/>
        </w:rPr>
      </w:pPr>
      <w:r w:rsidRPr="003E1EC9">
        <w:rPr>
          <w:lang w:val="en-US"/>
        </w:rPr>
        <w:t>This guideline applies to employees, contractors, consultants, temporary and other workers at Cisco, including all personnel affiliated with third parties. This guideline applies to all passwords including but not limited to user-level accounts, system-level accounts, web accounts, e-mail accounts, screen saver protection, voicemail, and local router logins.</w:t>
      </w:r>
    </w:p>
    <w:p w:rsidR="00652FFC" w:rsidRDefault="00652FFC" w:rsidP="00652FFC">
      <w:pPr>
        <w:pStyle w:val="Kop2"/>
      </w:pPr>
      <w:r>
        <w:t>Policy</w:t>
      </w:r>
    </w:p>
    <w:p w:rsidR="006C2509" w:rsidRDefault="00241873" w:rsidP="003E1EC9">
      <w:pPr>
        <w:rPr>
          <w:lang w:val="en-US"/>
        </w:rPr>
      </w:pPr>
      <w:r w:rsidRPr="00241873">
        <w:rPr>
          <w:lang w:val="en-US"/>
        </w:rPr>
        <w:t xml:space="preserve">All passwords should meet or exceed the following guidelines </w:t>
      </w:r>
    </w:p>
    <w:p w:rsidR="00241873" w:rsidRDefault="00241873" w:rsidP="003E1EC9">
      <w:pPr>
        <w:rPr>
          <w:lang w:val="en-US"/>
        </w:rPr>
      </w:pPr>
      <w:r w:rsidRPr="00241873">
        <w:rPr>
          <w:lang w:val="en-US"/>
        </w:rPr>
        <w:t xml:space="preserve">Strong passwords have the following characteristics: </w:t>
      </w:r>
      <w:r>
        <w:rPr>
          <w:lang w:val="en-US"/>
        </w:rPr>
        <w:br/>
      </w:r>
      <w:r>
        <w:sym w:font="Symbol" w:char="F0B7"/>
      </w:r>
      <w:r w:rsidRPr="00241873">
        <w:rPr>
          <w:lang w:val="en-US"/>
        </w:rPr>
        <w:t xml:space="preserve"> Contain at least 12 alphanumeric characters. </w:t>
      </w:r>
      <w:r>
        <w:rPr>
          <w:lang w:val="en-US"/>
        </w:rPr>
        <w:br/>
      </w:r>
      <w:r>
        <w:sym w:font="Symbol" w:char="F0B7"/>
      </w:r>
      <w:r w:rsidRPr="00241873">
        <w:rPr>
          <w:lang w:val="en-US"/>
        </w:rPr>
        <w:t xml:space="preserve"> Contain both upper and lower case letters. </w:t>
      </w:r>
      <w:r>
        <w:rPr>
          <w:lang w:val="en-US"/>
        </w:rPr>
        <w:br/>
      </w:r>
      <w:r>
        <w:sym w:font="Symbol" w:char="F0B7"/>
      </w:r>
      <w:r w:rsidRPr="00241873">
        <w:rPr>
          <w:lang w:val="en-US"/>
        </w:rPr>
        <w:t xml:space="preserve"> Contain at least one number (for example, 0-9). </w:t>
      </w:r>
      <w:r>
        <w:rPr>
          <w:lang w:val="en-US"/>
        </w:rPr>
        <w:br/>
      </w:r>
      <w:r>
        <w:sym w:font="Symbol" w:char="F0B7"/>
      </w:r>
      <w:r w:rsidRPr="00241873">
        <w:rPr>
          <w:lang w:val="en-US"/>
        </w:rPr>
        <w:t xml:space="preserve"> Contain at least one special character (for </w:t>
      </w:r>
      <w:proofErr w:type="gramStart"/>
      <w:r w:rsidRPr="00241873">
        <w:rPr>
          <w:lang w:val="en-US"/>
        </w:rPr>
        <w:t>example,!</w:t>
      </w:r>
      <w:proofErr w:type="gramEnd"/>
      <w:r w:rsidRPr="00241873">
        <w:rPr>
          <w:lang w:val="en-US"/>
        </w:rPr>
        <w:t xml:space="preserve">$%^&amp;*()_+|~-=\`{}[]:";'&lt;&gt;?,/). </w:t>
      </w:r>
    </w:p>
    <w:p w:rsidR="003E1EC9" w:rsidRPr="00241873" w:rsidRDefault="00241873" w:rsidP="003E1EC9">
      <w:pPr>
        <w:rPr>
          <w:lang w:val="en-US"/>
        </w:rPr>
      </w:pPr>
      <w:r w:rsidRPr="00241873">
        <w:rPr>
          <w:lang w:val="en-US"/>
        </w:rPr>
        <w:t xml:space="preserve">Poor, or weak, passwords have the following characteristics: </w:t>
      </w:r>
      <w:r>
        <w:rPr>
          <w:lang w:val="en-US"/>
        </w:rPr>
        <w:br/>
      </w:r>
      <w:r>
        <w:sym w:font="Symbol" w:char="F0B7"/>
      </w:r>
      <w:r w:rsidRPr="00241873">
        <w:rPr>
          <w:lang w:val="en-US"/>
        </w:rPr>
        <w:t xml:space="preserve"> Contain less than eight characters. </w:t>
      </w:r>
      <w:r>
        <w:rPr>
          <w:lang w:val="en-US"/>
        </w:rPr>
        <w:br/>
      </w:r>
      <w:r>
        <w:sym w:font="Symbol" w:char="F0B7"/>
      </w:r>
      <w:r w:rsidRPr="00241873">
        <w:rPr>
          <w:lang w:val="en-US"/>
        </w:rPr>
        <w:t xml:space="preserve"> Can be found in a dictionary, including foreign language, or exist in a language slang, dialect, or jargon.</w:t>
      </w:r>
    </w:p>
    <w:sectPr w:rsidR="003E1EC9" w:rsidRPr="00241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3074080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DD"/>
    <w:rsid w:val="00175015"/>
    <w:rsid w:val="00211A27"/>
    <w:rsid w:val="00226602"/>
    <w:rsid w:val="00241873"/>
    <w:rsid w:val="002476EE"/>
    <w:rsid w:val="00272A13"/>
    <w:rsid w:val="00292665"/>
    <w:rsid w:val="00300ACB"/>
    <w:rsid w:val="003E1EC9"/>
    <w:rsid w:val="00403581"/>
    <w:rsid w:val="00404D6E"/>
    <w:rsid w:val="004D010C"/>
    <w:rsid w:val="00563D9A"/>
    <w:rsid w:val="00565143"/>
    <w:rsid w:val="00571E14"/>
    <w:rsid w:val="005E516D"/>
    <w:rsid w:val="00641B07"/>
    <w:rsid w:val="00652FFC"/>
    <w:rsid w:val="0065723D"/>
    <w:rsid w:val="006C2509"/>
    <w:rsid w:val="006C367F"/>
    <w:rsid w:val="0070294A"/>
    <w:rsid w:val="0073194A"/>
    <w:rsid w:val="007D022C"/>
    <w:rsid w:val="00836E4F"/>
    <w:rsid w:val="00843DF7"/>
    <w:rsid w:val="0085442B"/>
    <w:rsid w:val="008A5609"/>
    <w:rsid w:val="008C41DD"/>
    <w:rsid w:val="00911AB6"/>
    <w:rsid w:val="0094009D"/>
    <w:rsid w:val="0096563B"/>
    <w:rsid w:val="00992932"/>
    <w:rsid w:val="009A7427"/>
    <w:rsid w:val="009B25EC"/>
    <w:rsid w:val="00A736C2"/>
    <w:rsid w:val="00A74629"/>
    <w:rsid w:val="00A7507D"/>
    <w:rsid w:val="00AB1FB7"/>
    <w:rsid w:val="00AF4E8F"/>
    <w:rsid w:val="00B82EA5"/>
    <w:rsid w:val="00BD3ABD"/>
    <w:rsid w:val="00C54629"/>
    <w:rsid w:val="00C95DBA"/>
    <w:rsid w:val="00CF3DD5"/>
    <w:rsid w:val="00CF494A"/>
    <w:rsid w:val="00E468C5"/>
    <w:rsid w:val="00EC2819"/>
    <w:rsid w:val="00F10B64"/>
    <w:rsid w:val="00F53BFD"/>
    <w:rsid w:val="00F837F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E4A68-336F-4E9F-A53C-64330091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C41DD"/>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Kop2">
    <w:name w:val="heading 2"/>
    <w:basedOn w:val="Standaard"/>
    <w:next w:val="Standaard"/>
    <w:link w:val="Kop2Char"/>
    <w:uiPriority w:val="9"/>
    <w:unhideWhenUsed/>
    <w:qFormat/>
    <w:rsid w:val="008C41DD"/>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Kop3">
    <w:name w:val="heading 3"/>
    <w:basedOn w:val="Standaard"/>
    <w:next w:val="Standaard"/>
    <w:link w:val="Kop3Char"/>
    <w:uiPriority w:val="9"/>
    <w:unhideWhenUsed/>
    <w:qFormat/>
    <w:rsid w:val="008C41DD"/>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sz w:val="24"/>
      <w:lang w:val="en-US"/>
    </w:rPr>
  </w:style>
  <w:style w:type="paragraph" w:styleId="Kop4">
    <w:name w:val="heading 4"/>
    <w:basedOn w:val="Standaard"/>
    <w:next w:val="Standaard"/>
    <w:link w:val="Kop4Char"/>
    <w:uiPriority w:val="9"/>
    <w:unhideWhenUsed/>
    <w:qFormat/>
    <w:rsid w:val="008C41DD"/>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sz w:val="24"/>
      <w:lang w:val="en-US"/>
    </w:rPr>
  </w:style>
  <w:style w:type="paragraph" w:styleId="Kop5">
    <w:name w:val="heading 5"/>
    <w:basedOn w:val="Standaard"/>
    <w:next w:val="Standaard"/>
    <w:link w:val="Kop5Char"/>
    <w:uiPriority w:val="9"/>
    <w:semiHidden/>
    <w:unhideWhenUsed/>
    <w:qFormat/>
    <w:rsid w:val="008C41DD"/>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sz w:val="24"/>
      <w:lang w:val="en-US"/>
    </w:rPr>
  </w:style>
  <w:style w:type="paragraph" w:styleId="Kop6">
    <w:name w:val="heading 6"/>
    <w:basedOn w:val="Standaard"/>
    <w:next w:val="Standaard"/>
    <w:link w:val="Kop6Char"/>
    <w:uiPriority w:val="9"/>
    <w:semiHidden/>
    <w:unhideWhenUsed/>
    <w:qFormat/>
    <w:rsid w:val="008C41DD"/>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sz w:val="24"/>
      <w:lang w:val="en-US"/>
    </w:rPr>
  </w:style>
  <w:style w:type="paragraph" w:styleId="Kop7">
    <w:name w:val="heading 7"/>
    <w:basedOn w:val="Standaard"/>
    <w:next w:val="Standaard"/>
    <w:link w:val="Kop7Char"/>
    <w:uiPriority w:val="9"/>
    <w:semiHidden/>
    <w:unhideWhenUsed/>
    <w:qFormat/>
    <w:rsid w:val="008C41DD"/>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val="en-US"/>
    </w:rPr>
  </w:style>
  <w:style w:type="paragraph" w:styleId="Kop8">
    <w:name w:val="heading 8"/>
    <w:basedOn w:val="Standaard"/>
    <w:next w:val="Standaard"/>
    <w:link w:val="Kop8Char"/>
    <w:uiPriority w:val="9"/>
    <w:semiHidden/>
    <w:unhideWhenUsed/>
    <w:qFormat/>
    <w:rsid w:val="008C41DD"/>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Kop9">
    <w:name w:val="heading 9"/>
    <w:basedOn w:val="Standaard"/>
    <w:next w:val="Standaard"/>
    <w:link w:val="Kop9Char"/>
    <w:uiPriority w:val="9"/>
    <w:semiHidden/>
    <w:unhideWhenUsed/>
    <w:qFormat/>
    <w:rsid w:val="008C41DD"/>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41DD"/>
    <w:rPr>
      <w:rFonts w:asciiTheme="majorHAnsi" w:eastAsiaTheme="majorEastAsia" w:hAnsiTheme="majorHAnsi" w:cstheme="majorBidi"/>
      <w:b/>
      <w:bCs/>
      <w:color w:val="2E74B5" w:themeColor="accent1" w:themeShade="BF"/>
      <w:sz w:val="28"/>
      <w:szCs w:val="28"/>
      <w:lang w:val="en-US"/>
    </w:rPr>
  </w:style>
  <w:style w:type="character" w:customStyle="1" w:styleId="Kop2Char">
    <w:name w:val="Kop 2 Char"/>
    <w:basedOn w:val="Standaardalinea-lettertype"/>
    <w:link w:val="Kop2"/>
    <w:uiPriority w:val="9"/>
    <w:rsid w:val="008C41DD"/>
    <w:rPr>
      <w:rFonts w:asciiTheme="majorHAnsi" w:eastAsiaTheme="majorEastAsia" w:hAnsiTheme="majorHAnsi" w:cstheme="majorBidi"/>
      <w:b/>
      <w:bCs/>
      <w:color w:val="5B9BD5" w:themeColor="accent1"/>
      <w:sz w:val="26"/>
      <w:szCs w:val="26"/>
      <w:lang w:val="en-US"/>
    </w:rPr>
  </w:style>
  <w:style w:type="character" w:customStyle="1" w:styleId="Kop3Char">
    <w:name w:val="Kop 3 Char"/>
    <w:basedOn w:val="Standaardalinea-lettertype"/>
    <w:link w:val="Kop3"/>
    <w:uiPriority w:val="9"/>
    <w:rsid w:val="008C41DD"/>
    <w:rPr>
      <w:rFonts w:asciiTheme="majorHAnsi" w:eastAsiaTheme="majorEastAsia" w:hAnsiTheme="majorHAnsi" w:cstheme="majorBidi"/>
      <w:b/>
      <w:bCs/>
      <w:color w:val="5B9BD5" w:themeColor="accent1"/>
      <w:sz w:val="24"/>
      <w:lang w:val="en-US"/>
    </w:rPr>
  </w:style>
  <w:style w:type="character" w:customStyle="1" w:styleId="Kop4Char">
    <w:name w:val="Kop 4 Char"/>
    <w:basedOn w:val="Standaardalinea-lettertype"/>
    <w:link w:val="Kop4"/>
    <w:uiPriority w:val="9"/>
    <w:rsid w:val="008C41DD"/>
    <w:rPr>
      <w:rFonts w:asciiTheme="majorHAnsi" w:eastAsiaTheme="majorEastAsia" w:hAnsiTheme="majorHAnsi" w:cstheme="majorBidi"/>
      <w:b/>
      <w:bCs/>
      <w:i/>
      <w:iCs/>
      <w:color w:val="5B9BD5" w:themeColor="accent1"/>
      <w:sz w:val="24"/>
      <w:lang w:val="en-US"/>
    </w:rPr>
  </w:style>
  <w:style w:type="character" w:customStyle="1" w:styleId="Kop5Char">
    <w:name w:val="Kop 5 Char"/>
    <w:basedOn w:val="Standaardalinea-lettertype"/>
    <w:link w:val="Kop5"/>
    <w:uiPriority w:val="9"/>
    <w:semiHidden/>
    <w:rsid w:val="008C41DD"/>
    <w:rPr>
      <w:rFonts w:asciiTheme="majorHAnsi" w:eastAsiaTheme="majorEastAsia" w:hAnsiTheme="majorHAnsi" w:cstheme="majorBidi"/>
      <w:color w:val="1F4D78" w:themeColor="accent1" w:themeShade="7F"/>
      <w:sz w:val="24"/>
      <w:lang w:val="en-US"/>
    </w:rPr>
  </w:style>
  <w:style w:type="character" w:customStyle="1" w:styleId="Kop6Char">
    <w:name w:val="Kop 6 Char"/>
    <w:basedOn w:val="Standaardalinea-lettertype"/>
    <w:link w:val="Kop6"/>
    <w:uiPriority w:val="9"/>
    <w:semiHidden/>
    <w:rsid w:val="008C41DD"/>
    <w:rPr>
      <w:rFonts w:asciiTheme="majorHAnsi" w:eastAsiaTheme="majorEastAsia" w:hAnsiTheme="majorHAnsi" w:cstheme="majorBidi"/>
      <w:i/>
      <w:iCs/>
      <w:color w:val="1F4D78" w:themeColor="accent1" w:themeShade="7F"/>
      <w:sz w:val="24"/>
      <w:lang w:val="en-US"/>
    </w:rPr>
  </w:style>
  <w:style w:type="character" w:customStyle="1" w:styleId="Kop7Char">
    <w:name w:val="Kop 7 Char"/>
    <w:basedOn w:val="Standaardalinea-lettertype"/>
    <w:link w:val="Kop7"/>
    <w:uiPriority w:val="9"/>
    <w:semiHidden/>
    <w:rsid w:val="008C41DD"/>
    <w:rPr>
      <w:rFonts w:asciiTheme="majorHAnsi" w:eastAsiaTheme="majorEastAsia" w:hAnsiTheme="majorHAnsi" w:cstheme="majorBidi"/>
      <w:i/>
      <w:iCs/>
      <w:color w:val="404040" w:themeColor="text1" w:themeTint="BF"/>
      <w:sz w:val="24"/>
      <w:lang w:val="en-US"/>
    </w:rPr>
  </w:style>
  <w:style w:type="character" w:customStyle="1" w:styleId="Kop8Char">
    <w:name w:val="Kop 8 Char"/>
    <w:basedOn w:val="Standaardalinea-lettertype"/>
    <w:link w:val="Kop8"/>
    <w:uiPriority w:val="9"/>
    <w:semiHidden/>
    <w:rsid w:val="008C41DD"/>
    <w:rPr>
      <w:rFonts w:asciiTheme="majorHAnsi" w:eastAsiaTheme="majorEastAsia" w:hAnsiTheme="majorHAnsi" w:cstheme="majorBidi"/>
      <w:color w:val="404040" w:themeColor="text1" w:themeTint="BF"/>
      <w:sz w:val="20"/>
      <w:szCs w:val="20"/>
      <w:lang w:val="en-US"/>
    </w:rPr>
  </w:style>
  <w:style w:type="character" w:customStyle="1" w:styleId="Kop9Char">
    <w:name w:val="Kop 9 Char"/>
    <w:basedOn w:val="Standaardalinea-lettertype"/>
    <w:link w:val="Kop9"/>
    <w:uiPriority w:val="9"/>
    <w:semiHidden/>
    <w:rsid w:val="008C41DD"/>
    <w:rPr>
      <w:rFonts w:asciiTheme="majorHAnsi" w:eastAsiaTheme="majorEastAsia" w:hAnsiTheme="majorHAnsi" w:cstheme="majorBidi"/>
      <w:i/>
      <w:iCs/>
      <w:color w:val="404040" w:themeColor="text1" w:themeTint="BF"/>
      <w:sz w:val="20"/>
      <w:szCs w:val="20"/>
      <w:lang w:val="en-US"/>
    </w:rPr>
  </w:style>
  <w:style w:type="paragraph" w:styleId="Lijstalinea">
    <w:name w:val="List Paragraph"/>
    <w:basedOn w:val="Standaard"/>
    <w:uiPriority w:val="34"/>
    <w:qFormat/>
    <w:rsid w:val="008C41DD"/>
    <w:pPr>
      <w:spacing w:after="200" w:line="276" w:lineRule="auto"/>
      <w:ind w:left="720"/>
      <w:contextualSpacing/>
    </w:pPr>
    <w:rPr>
      <w:rFonts w:ascii="Times New Roman" w:hAnsi="Times New Roman"/>
      <w:sz w:val="24"/>
      <w:lang w:val="en-US"/>
    </w:rPr>
  </w:style>
  <w:style w:type="paragraph" w:styleId="Tekstzonderopmaak">
    <w:name w:val="Plain Text"/>
    <w:basedOn w:val="Standaard"/>
    <w:link w:val="TekstzonderopmaakChar"/>
    <w:rsid w:val="008C41DD"/>
    <w:pPr>
      <w:spacing w:after="0" w:line="240" w:lineRule="auto"/>
    </w:pPr>
    <w:rPr>
      <w:rFonts w:ascii="Courier New" w:eastAsia="Times New Roman" w:hAnsi="Courier New" w:cs="Courier New"/>
      <w:sz w:val="20"/>
      <w:szCs w:val="20"/>
      <w:lang w:val="en-US"/>
    </w:rPr>
  </w:style>
  <w:style w:type="character" w:customStyle="1" w:styleId="TekstzonderopmaakChar">
    <w:name w:val="Tekst zonder opmaak Char"/>
    <w:basedOn w:val="Standaardalinea-lettertype"/>
    <w:link w:val="Tekstzonderopmaak"/>
    <w:rsid w:val="008C41DD"/>
    <w:rPr>
      <w:rFonts w:ascii="Courier New" w:eastAsia="Times New Roman" w:hAnsi="Courier New" w:cs="Courier New"/>
      <w:sz w:val="20"/>
      <w:szCs w:val="20"/>
      <w:lang w:val="en-US"/>
    </w:rPr>
  </w:style>
  <w:style w:type="character" w:styleId="Intensievebenadrukking">
    <w:name w:val="Intense Emphasis"/>
    <w:basedOn w:val="Standaardalinea-lettertype"/>
    <w:uiPriority w:val="21"/>
    <w:qFormat/>
    <w:rsid w:val="00A736C2"/>
    <w:rPr>
      <w:i/>
      <w:iCs/>
      <w:color w:val="5B9BD5" w:themeColor="accent1"/>
    </w:rPr>
  </w:style>
  <w:style w:type="paragraph" w:styleId="Duidelijkcitaat">
    <w:name w:val="Intense Quote"/>
    <w:basedOn w:val="Standaard"/>
    <w:next w:val="Standaard"/>
    <w:link w:val="DuidelijkcitaatChar"/>
    <w:uiPriority w:val="30"/>
    <w:qFormat/>
    <w:rsid w:val="00A736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A736C2"/>
    <w:rPr>
      <w:i/>
      <w:iCs/>
      <w:color w:val="5B9BD5" w:themeColor="accent1"/>
    </w:rPr>
  </w:style>
  <w:style w:type="paragraph" w:styleId="Citaat">
    <w:name w:val="Quote"/>
    <w:basedOn w:val="Standaard"/>
    <w:next w:val="Standaard"/>
    <w:link w:val="CitaatChar"/>
    <w:uiPriority w:val="29"/>
    <w:qFormat/>
    <w:rsid w:val="00E468C5"/>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468C5"/>
    <w:rPr>
      <w:i/>
      <w:iCs/>
      <w:color w:val="404040" w:themeColor="text1" w:themeTint="BF"/>
    </w:rPr>
  </w:style>
  <w:style w:type="character" w:styleId="Nadruk">
    <w:name w:val="Emphasis"/>
    <w:basedOn w:val="Standaardalinea-lettertype"/>
    <w:uiPriority w:val="20"/>
    <w:qFormat/>
    <w:rsid w:val="00E468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1190</Words>
  <Characters>6783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Maurits Seelen</dc:creator>
  <cp:keywords/>
  <dc:description/>
  <cp:lastModifiedBy>Daan Bergmans</cp:lastModifiedBy>
  <cp:revision>2</cp:revision>
  <dcterms:created xsi:type="dcterms:W3CDTF">2016-05-19T08:12:00Z</dcterms:created>
  <dcterms:modified xsi:type="dcterms:W3CDTF">2016-05-19T08:12:00Z</dcterms:modified>
</cp:coreProperties>
</file>