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265fbbaad976b8ee8571739f9cea968b0ab8679"/>
    <w:p>
      <w:pPr>
        <w:pStyle w:val="Heading1"/>
      </w:pPr>
      <w:r>
        <w:t xml:space="preserve">SigmaCV: open, FAIR infrastructure for generating academic CVs from open research data</w:t>
      </w:r>
    </w:p>
    <w:p>
      <w:pPr>
        <w:pStyle w:val="BlockText"/>
      </w:pPr>
      <w:r>
        <w:rPr>
          <w:b/>
          <w:bCs/>
        </w:rPr>
        <w:t xml:space="preserve">DRAFT v0.1</w:t>
      </w:r>
      <w:r>
        <w:t xml:space="preserve"> </w:t>
      </w:r>
      <w:r>
        <w:t xml:space="preserve">— a first structured draft to build on, not a finished manuscript.</w:t>
      </w:r>
      <w:r>
        <w:t xml:space="preserve"> </w:t>
      </w:r>
      <w:r>
        <w:t xml:space="preserve">Placeholders are marked</w:t>
      </w:r>
      <w:r>
        <w:t xml:space="preserve"> </w:t>
      </w:r>
      <w:r>
        <w:rPr>
          <w:rStyle w:val="VerbatimChar"/>
        </w:rPr>
        <w:t xml:space="preserve">‹…›</w:t>
      </w:r>
      <w:r>
        <w:t xml:space="preserve">. Fill in co-authors, the Zenodo DOI, and any</w:t>
      </w:r>
      <w:r>
        <w:t xml:space="preserve"> </w:t>
      </w:r>
      <w:r>
        <w:t xml:space="preserve">concrete usage/adoption figures before submission. Candidate venues:</w:t>
      </w:r>
      <w:r>
        <w:t xml:space="preserve"> </w:t>
      </w:r>
      <w:r>
        <w:rPr>
          <w:i/>
          <w:iCs/>
        </w:rPr>
        <w:t xml:space="preserve">Quantitative Science Studies</w:t>
      </w:r>
      <w:r>
        <w:t xml:space="preserve"> </w:t>
      </w:r>
      <w:r>
        <w:t xml:space="preserve">(QSS),</w:t>
      </w:r>
      <w:r>
        <w:t xml:space="preserve"> </w:t>
      </w:r>
      <w:r>
        <w:rPr>
          <w:i/>
          <w:iCs/>
        </w:rPr>
        <w:t xml:space="preserve">Scientometrics</w:t>
      </w:r>
      <w:r>
        <w:t xml:space="preserve">,</w:t>
      </w:r>
      <w:r>
        <w:t xml:space="preserve"> </w:t>
      </w:r>
      <w:r>
        <w:rPr>
          <w:i/>
          <w:iCs/>
        </w:rPr>
        <w:t xml:space="preserve">PeerJ Computer</w:t>
      </w:r>
      <w:r>
        <w:rPr>
          <w:i/>
          <w:iCs/>
        </w:rPr>
        <w:t xml:space="preserve"> </w:t>
      </w:r>
      <w:r>
        <w:rPr>
          <w:i/>
          <w:iCs/>
        </w:rPr>
        <w:t xml:space="preserve">Science</w:t>
      </w:r>
      <w:r>
        <w:t xml:space="preserve">,</w:t>
      </w:r>
      <w:r>
        <w:t xml:space="preserve"> </w:t>
      </w:r>
      <w:r>
        <w:rPr>
          <w:i/>
          <w:iCs/>
        </w:rPr>
        <w:t xml:space="preserve">SoftwareX</w:t>
      </w:r>
      <w:r>
        <w:t xml:space="preserve">, or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(JOSS, for a short</w:t>
      </w:r>
      <w:r>
        <w:t xml:space="preserve"> </w:t>
      </w:r>
      <w:r>
        <w:t xml:space="preserve">software paper). This draft is written venue-agnostic and long-form; trim to</w:t>
      </w:r>
      <w:r>
        <w:t xml:space="preserve"> </w:t>
      </w:r>
      <w:r>
        <w:t xml:space="preserve">the target venue.</w:t>
      </w:r>
    </w:p>
    <w:bookmarkStart w:id="9" w:name="authors"/>
    <w:p>
      <w:pPr>
        <w:pStyle w:val="Heading2"/>
      </w:pPr>
      <w:r>
        <w:t xml:space="preserve">Authors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Basile Chrétien</w:t>
      </w:r>
      <w:r>
        <w:t xml:space="preserve"> </w:t>
      </w:r>
      <w:r>
        <w:t xml:space="preserve">¹ ² — PharmD, MSc, MPH — ORCID 0000-0002-7483-2489</w:t>
      </w:r>
      <w:r>
        <w:t xml:space="preserve"> </w:t>
      </w:r>
      <w:r>
        <w:t xml:space="preserve">(corresponding: chretien.basile.jean.bernard.u4@s.mail.nagoya-u.ac.jp)</w:t>
      </w:r>
    </w:p>
    <w:p>
      <w:pPr>
        <w:pStyle w:val="Compact"/>
        <w:numPr>
          <w:ilvl w:val="0"/>
          <w:numId w:val="1001"/>
        </w:numPr>
      </w:pPr>
      <w:r>
        <w:t xml:space="preserve">‹co-authors, if any›</w:t>
      </w:r>
    </w:p>
    <w:p>
      <w:pPr>
        <w:pStyle w:val="FirstParagraph"/>
      </w:pPr>
      <w:r>
        <w:t xml:space="preserve">¹ Department of International Medical Education, Nagoya University Graduate School</w:t>
      </w:r>
      <w:r>
        <w:t xml:space="preserve"> </w:t>
      </w:r>
      <w:r>
        <w:t xml:space="preserve">of Medicine, Nagoya, Japan.</w:t>
      </w:r>
      <w:r>
        <w:t xml:space="preserve"> </w:t>
      </w:r>
      <w:r>
        <w:t xml:space="preserve">² Neuropresage Team, Normandie University, UNICAEN, INSERM, UMR-S U1237 (PhIND),</w:t>
      </w:r>
      <w:r>
        <w:t xml:space="preserve"> </w:t>
      </w:r>
      <w:r>
        <w:t xml:space="preserve">GIP Cyceron, 14000 Caen, France.</w: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Curricula vitae (CVs) are central to hiring, promotion, and grant evaluation, yet</w:t>
      </w:r>
      <w:r>
        <w:t xml:space="preserve"> </w:t>
      </w:r>
      <w:r>
        <w:t xml:space="preserve">researchers maintain them by hand, re-formatting the same publication list for</w:t>
      </w:r>
      <w:r>
        <w:t xml:space="preserve"> </w:t>
      </w:r>
      <w:r>
        <w:t xml:space="preserve">each funder and template, and the resulting documents are neither machine-readable</w:t>
      </w:r>
      <w:r>
        <w:t xml:space="preserve"> </w:t>
      </w:r>
      <w:r>
        <w:t xml:space="preserve">nor reproducible. At the same time, the research-assessment community</w:t>
      </w:r>
      <w:r>
        <w:t xml:space="preserve"> </w:t>
      </w:r>
      <w:r>
        <w:t xml:space="preserve">(DORA, CoARA, the Leiden Manifesto) is moving away from journal-level proxies and</w:t>
      </w:r>
      <w:r>
        <w:t xml:space="preserve"> </w:t>
      </w:r>
      <w:r>
        <w:t xml:space="preserve">toward narrative, contribution-focused evaluation. We present</w:t>
      </w:r>
      <w:r>
        <w:t xml:space="preserve"> </w:t>
      </w:r>
      <w:r>
        <w:rPr>
          <w:b/>
          <w:bCs/>
        </w:rPr>
        <w:t xml:space="preserve">SigmaCV</w:t>
      </w:r>
      <w:r>
        <w:t xml:space="preserve">, an</w:t>
      </w:r>
      <w:r>
        <w:t xml:space="preserve"> </w:t>
      </w:r>
      <w:r>
        <w:t xml:space="preserve">open-source web application that automatically assembles a clean, customizable</w:t>
      </w:r>
      <w:r>
        <w:t xml:space="preserve"> </w:t>
      </w:r>
      <w:r>
        <w:t xml:space="preserve">academic CV from open research data (OpenAlex, ORCID, Crossref, ROR, DataCite) and</w:t>
      </w:r>
      <w:r>
        <w:t xml:space="preserve"> </w:t>
      </w:r>
      <w:r>
        <w:t xml:space="preserve">renders it to many formats from a single source of truth. SigmaCV is designed as</w:t>
      </w:r>
      <w:r>
        <w:t xml:space="preserve"> </w:t>
      </w:r>
      <w:r>
        <w:rPr>
          <w:b/>
          <w:bCs/>
        </w:rPr>
        <w:t xml:space="preserve">open, FAIR infrastructure for responsible research assessment</w:t>
      </w:r>
      <w:r>
        <w:t xml:space="preserve"> </w:t>
      </w:r>
      <w:r>
        <w:t xml:space="preserve">rather than a</w:t>
      </w:r>
      <w:r>
        <w:t xml:space="preserve"> </w:t>
      </w:r>
      <w:r>
        <w:t xml:space="preserve">consumer product: the account holder is identified by persistent identifier</w:t>
      </w:r>
      <w:r>
        <w:t xml:space="preserve"> </w:t>
      </w:r>
      <w:r>
        <w:t xml:space="preserve">(ORCID / OpenAlex ID) and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by name string; every record carries provenance;</w:t>
      </w:r>
      <w:r>
        <w:t xml:space="preserve"> </w:t>
      </w:r>
      <w:r>
        <w:t xml:space="preserve">metrics are opt-in, default-none, and field-normalized; and a published CV is a</w:t>
      </w:r>
      <w:r>
        <w:t xml:space="preserve"> </w:t>
      </w:r>
      <w:r>
        <w:t xml:space="preserve">machine-readable artifact (schema.org JSON-LD, content-negotiated CSL-JSON and</w:t>
      </w:r>
      <w:r>
        <w:t xml:space="preserve"> </w:t>
      </w:r>
      <w:r>
        <w:t xml:space="preserve">BibTeX) under an author-chosen reuse license. The tool natively supports the</w:t>
      </w:r>
      <w:r>
        <w:t xml:space="preserve"> </w:t>
      </w:r>
      <w:r>
        <w:t xml:space="preserve">emerging</w:t>
      </w:r>
      <w:r>
        <w:t xml:space="preserve"> </w:t>
      </w:r>
      <w:r>
        <w:rPr>
          <w:b/>
          <w:bCs/>
        </w:rPr>
        <w:t xml:space="preserve">narrative-CV</w:t>
      </w:r>
      <w:r>
        <w:t xml:space="preserve"> </w:t>
      </w:r>
      <w:r>
        <w:t xml:space="preserve">formats (UKRI Résumé for Research and Innovation; the</w:t>
      </w:r>
      <w:r>
        <w:t xml:space="preserve"> </w:t>
      </w:r>
      <w:r>
        <w:t xml:space="preserve">Royal Society Résumé for Researchers) as first-class prose sections, and a</w:t>
      </w:r>
      <w:r>
        <w:t xml:space="preserve"> </w:t>
      </w:r>
      <w:r>
        <w:t xml:space="preserve">catalog of one-click, reversible structured layouts for grant calls (ERC, MSCA,</w:t>
      </w:r>
      <w:r>
        <w:t xml:space="preserve"> </w:t>
      </w:r>
      <w:r>
        <w:t xml:space="preserve">NIH/NSF, JSPS/KAKENHI, …), public institutions, and industry/clinical CVs. SigmaCV is also a</w:t>
      </w:r>
      <w:r>
        <w:t xml:space="preserve"> </w:t>
      </w:r>
      <w:r>
        <w:rPr>
          <w:b/>
          <w:bCs/>
        </w:rPr>
        <w:t xml:space="preserve">research</w:t>
      </w:r>
      <w:r>
        <w:rPr>
          <w:b/>
          <w:bCs/>
        </w:rPr>
        <w:t xml:space="preserve"> </w:t>
      </w:r>
      <w:r>
        <w:rPr>
          <w:b/>
          <w:bCs/>
        </w:rPr>
        <w:t xml:space="preserve">vehicle</w:t>
      </w:r>
      <w:r>
        <w:t xml:space="preserve">: with explicit, IRB-governed consent it records author-disambiguation</w:t>
      </w:r>
      <w:r>
        <w:t xml:space="preserve"> </w:t>
      </w:r>
      <w:r>
        <w:t xml:space="preserve">corrections and self-presentation choices to support two pre-registered</w:t>
      </w:r>
      <w:r>
        <w:t xml:space="preserve"> </w:t>
      </w:r>
      <w:r>
        <w:t xml:space="preserve">observational studies. The system is Apache-2.0 licensed, self-hostable via Docker</w:t>
      </w:r>
      <w:r>
        <w:t xml:space="preserve"> </w:t>
      </w:r>
      <w:r>
        <w:t xml:space="preserve">Compose, and privacy-first (GDPR / Japan APPI: per-field publish consent, data</w:t>
      </w:r>
      <w:r>
        <w:t xml:space="preserve"> </w:t>
      </w:r>
      <w:r>
        <w:t xml:space="preserve">export, account deletion). On a 390-researcher public-data sample we show why</w:t>
      </w:r>
      <w:r>
        <w:t xml:space="preserve"> </w:t>
      </w:r>
      <w:r>
        <w:t xml:space="preserve">identifier matching is indispensable: a researcher’s printed name collides with a</w:t>
      </w:r>
      <w:r>
        <w:t xml:space="preserve"> </w:t>
      </w:r>
      <w:r>
        <w:t xml:space="preserve">median of 13 distinct OpenAlex author identities in an East-Asian-affiliated</w:t>
      </w:r>
      <w:r>
        <w:t xml:space="preserve"> </w:t>
      </w:r>
      <w:r>
        <w:t xml:space="preserve">stratum (maximum 15,833) versus 2 for Anglophone names, so name-based attribution</w:t>
      </w:r>
      <w:r>
        <w:t xml:space="preserve"> </w:t>
      </w:r>
      <w:r>
        <w:t xml:space="preserve">is untenable precisely for the researchers most exposed to romanization. We</w:t>
      </w:r>
      <w:r>
        <w:t xml:space="preserve"> </w:t>
      </w:r>
      <w:r>
        <w:t xml:space="preserve">describe the architecture, the FAIR and responsible-assessment design decisions,</w:t>
      </w:r>
      <w:r>
        <w:t xml:space="preserve"> </w:t>
      </w:r>
      <w:r>
        <w:t xml:space="preserve">and the privacy/ethics model, and we discuss limitations and a roadmap that</w:t>
      </w:r>
      <w:r>
        <w:t xml:space="preserve"> </w:t>
      </w:r>
      <w:r>
        <w:t xml:space="preserve">includes pushing curation corrections back to the open scholarly graph.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academic CV; curriculum vitae; research assessment; responsible</w:t>
      </w:r>
      <w:r>
        <w:t xml:space="preserve"> </w:t>
      </w:r>
      <w:r>
        <w:t xml:space="preserve">metrics; FAIR; open infrastructure; ORCID; OpenAlex; author disambiguation;</w:t>
      </w:r>
      <w:r>
        <w:t xml:space="preserve"> </w:t>
      </w:r>
      <w:r>
        <w:t xml:space="preserve">narrative CV; bibliometrics; CSL.</w:t>
      </w:r>
    </w:p>
    <w:bookmarkEnd w:id="10"/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Academic careers run on the CV, but producing one is repetitive, error-prone, and</w:t>
      </w:r>
      <w:r>
        <w:t xml:space="preserve"> </w:t>
      </w:r>
      <w:r>
        <w:t xml:space="preserve">duplicative. A researcher’s publication list already exists, in structured form,</w:t>
      </w:r>
      <w:r>
        <w:t xml:space="preserve"> </w:t>
      </w:r>
      <w:r>
        <w:t xml:space="preserve">in open bibliographic databases — yet most CVs are hand-maintained word-processor</w:t>
      </w:r>
      <w:r>
        <w:t xml:space="preserve"> </w:t>
      </w:r>
      <w:r>
        <w:t xml:space="preserve">documents that drift out of date, must be re-formatted per funder template, and</w:t>
      </w:r>
      <w:r>
        <w:t xml:space="preserve"> </w:t>
      </w:r>
      <w:r>
        <w:t xml:space="preserve">are opaque to machines. Meanwhile, two pressures are reshaping how scholarly</w:t>
      </w:r>
      <w:r>
        <w:t xml:space="preserve"> </w:t>
      </w:r>
      <w:r>
        <w:t xml:space="preserve">records are assessed. First,</w:t>
      </w:r>
      <w:r>
        <w:t xml:space="preserve"> </w:t>
      </w:r>
      <w:r>
        <w:rPr>
          <w:b/>
          <w:bCs/>
        </w:rPr>
        <w:t xml:space="preserve">responsible research assessment</w:t>
      </w:r>
      <w:r>
        <w:t xml:space="preserve"> </w:t>
      </w:r>
      <w:r>
        <w:t xml:space="preserve">— articulated by</w:t>
      </w:r>
      <w:r>
        <w:t xml:space="preserve"> </w:t>
      </w:r>
      <w:r>
        <w:t xml:space="preserve">the San Francisco Declaration on Research Assessment (DORA), the Leiden Manifesto,</w:t>
      </w:r>
      <w:r>
        <w:t xml:space="preserve"> </w:t>
      </w:r>
      <w:r>
        <w:t xml:space="preserve">and the Coalition for Advancing Research Assessment (CoARA) — argues against</w:t>
      </w:r>
      <w:r>
        <w:t xml:space="preserve"> </w:t>
      </w:r>
      <w:r>
        <w:t xml:space="preserve">journal-level proxies (e.g., the Journal Impact Factor) and for field-normalized</w:t>
      </w:r>
      <w:r>
        <w:t xml:space="preserve"> </w:t>
      </w:r>
      <w:r>
        <w:t xml:space="preserve">indicators and qualitative, contribution-focused evaluation. Funders are</w:t>
      </w:r>
      <w:r>
        <w:t xml:space="preserve"> </w:t>
      </w:r>
      <w:r>
        <w:t xml:space="preserve">operationalizing this through</w:t>
      </w:r>
      <w:r>
        <w:t xml:space="preserve"> </w:t>
      </w:r>
      <w:r>
        <w:rPr>
          <w:b/>
          <w:bCs/>
        </w:rPr>
        <w:t xml:space="preserve">narrative CVs</w:t>
      </w:r>
      <w:r>
        <w:t xml:space="preserve"> </w:t>
      </w:r>
      <w:r>
        <w:t xml:space="preserve">(UKRI’s Résumé for Research and</w:t>
      </w:r>
      <w:r>
        <w:t xml:space="preserve"> </w:t>
      </w:r>
      <w:r>
        <w:t xml:space="preserve">Innovation; the Royal Society’s Résumé for Researchers; analogous formats at the</w:t>
      </w:r>
      <w:r>
        <w:t xml:space="preserve"> </w:t>
      </w:r>
      <w:r>
        <w:t xml:space="preserve">Swiss National Science Foundation and the Dutch Research Council). Second, the</w:t>
      </w:r>
      <w:r>
        <w:t xml:space="preserve"> </w:t>
      </w:r>
      <w:r>
        <w:rPr>
          <w:b/>
          <w:bCs/>
        </w:rPr>
        <w:t xml:space="preserve">open-metadata ecosystem</w:t>
      </w:r>
      <w:r>
        <w:t xml:space="preserve"> </w:t>
      </w:r>
      <w:r>
        <w:t xml:space="preserve">has matured: OpenAlex provides a fully open index of</w:t>
      </w:r>
      <w:r>
        <w:t xml:space="preserve"> </w:t>
      </w:r>
      <w:r>
        <w:t xml:space="preserve">works, authors, and institutions; ORCID provides persistent author identifiers;</w:t>
      </w:r>
      <w:r>
        <w:t xml:space="preserve"> </w:t>
      </w:r>
      <w:r>
        <w:t xml:space="preserve">ROR identifies institutions; Crossref and DataCite provide DOIs for articles and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These pressures motivate a tool that (i) builds an accurate CV from open data with</w:t>
      </w:r>
      <w:r>
        <w:t xml:space="preserve"> </w:t>
      </w:r>
      <w:r>
        <w:t xml:space="preserve">minimal effort, (ii) is itself open and FAIR rather than an extractive data silo,</w:t>
      </w:r>
      <w:r>
        <w:t xml:space="preserve"> </w:t>
      </w:r>
      <w:r>
        <w:t xml:space="preserve">and (iii) embodies responsible-assessment principles by construction.</w:t>
      </w:r>
    </w:p>
    <w:p>
      <w:pPr>
        <w:pStyle w:val="BodyText"/>
      </w:pPr>
      <w:r>
        <w:rPr>
          <w:b/>
          <w:bCs/>
        </w:rPr>
        <w:t xml:space="preserve">Contributions.</w:t>
      </w:r>
      <w:r>
        <w:t xml:space="preserve"> </w:t>
      </w:r>
      <w:r>
        <w:t xml:space="preserve">We present SigmaCV and make the following contributions:</w:t>
      </w:r>
    </w:p>
    <w:p>
      <w:pPr>
        <w:pStyle w:val="Compact"/>
        <w:numPr>
          <w:ilvl w:val="0"/>
          <w:numId w:val="1002"/>
        </w:numPr>
      </w:pPr>
      <w:r>
        <w:t xml:space="preserve">An architecture in which a single</w:t>
      </w:r>
      <w:r>
        <w:t xml:space="preserve"> </w:t>
      </w:r>
      <w:r>
        <w:rPr>
          <w:b/>
          <w:bCs/>
        </w:rPr>
        <w:t xml:space="preserve">canonical CV object</w:t>
      </w:r>
      <w:r>
        <w:t xml:space="preserve"> </w:t>
      </w:r>
      <w:r>
        <w:t xml:space="preserve">(a versioned,</w:t>
      </w:r>
      <w:r>
        <w:t xml:space="preserve"> </w:t>
      </w:r>
      <w:r>
        <w:t xml:space="preserve">validated JSON document combining curated data and display choices) is the sole</w:t>
      </w:r>
      <w:r>
        <w:t xml:space="preserve"> </w:t>
      </w:r>
      <w:r>
        <w:t xml:space="preserve">source of truth, and every output format — HTML, PDF, DOCX, LaTeX, Markdown,</w:t>
      </w:r>
      <w:r>
        <w:t xml:space="preserve"> </w:t>
      </w:r>
      <w:r>
        <w:t xml:space="preserve">BibTeX, CSL-JSON, JSON Résumé, and funder-structured drafts — is a pure function</w:t>
      </w:r>
      <w:r>
        <w:t xml:space="preserve"> </w:t>
      </w:r>
      <w:r>
        <w:t xml:space="preserve">of it, so citations and content are identical across formats.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Identifier-driven self-attribution and name highlighting</w:t>
      </w:r>
      <w:r>
        <w:t xml:space="preserve">: the account</w:t>
      </w:r>
      <w:r>
        <w:t xml:space="preserve"> </w:t>
      </w:r>
      <w:r>
        <w:t xml:space="preserve">holder is matched to authorships by ORCID / OpenAlex identifier, never by name</w:t>
      </w:r>
      <w:r>
        <w:t xml:space="preserve"> </w:t>
      </w:r>
      <w:r>
        <w:t xml:space="preserve">string, which avoids the systematic errors of name matching for common names</w:t>
      </w:r>
      <w:r>
        <w:t xml:space="preserve"> </w:t>
      </w:r>
      <w:r>
        <w:t xml:space="preserve">and non-Latin scripts. We substantiate this empirically (Section 3.5): in a</w:t>
      </w:r>
      <w:r>
        <w:t xml:space="preserve"> </w:t>
      </w:r>
      <w:r>
        <w:t xml:space="preserve">390-researcher public-data sample, the median name in an East-Asian-affiliated</w:t>
      </w:r>
      <w:r>
        <w:t xml:space="preserve"> </w:t>
      </w:r>
      <w:r>
        <w:t xml:space="preserve">stratum collides with 13 distinct OpenAlex author identities (30% with ≥ 100)</w:t>
      </w:r>
      <w:r>
        <w:t xml:space="preserve"> </w:t>
      </w:r>
      <w:r>
        <w:t xml:space="preserve">versus 2 for Anglophone names — so name-based attribution is untenable for</w:t>
      </w:r>
      <w:r>
        <w:t xml:space="preserve"> </w:t>
      </w:r>
      <w:r>
        <w:t xml:space="preserve">exactly the populations most exposed to romanization-driven collisions.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FAIR-by-design public surface</w:t>
      </w:r>
      <w:r>
        <w:t xml:space="preserve">: published CVs are machine-readable</w:t>
      </w:r>
      <w:r>
        <w:t xml:space="preserve"> </w:t>
      </w:r>
      <w:r>
        <w:t xml:space="preserve">(schema.org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/</w:t>
      </w:r>
      <w:r>
        <w:rPr>
          <w:rStyle w:val="VerbatimChar"/>
        </w:rPr>
        <w:t xml:space="preserve">ProfilePage</w:t>
      </w:r>
      <w:r>
        <w:t xml:space="preserve"> </w:t>
      </w:r>
      <w:r>
        <w:t xml:space="preserve">JSON-LD, content-negotiated CSL-JSON and</w:t>
      </w:r>
      <w:r>
        <w:t xml:space="preserve"> </w:t>
      </w:r>
      <w:r>
        <w:t xml:space="preserve">BibTeX), carry provenance and an author-chosen reuse license, and are governed</w:t>
      </w:r>
      <w:r>
        <w:t xml:space="preserve"> </w:t>
      </w:r>
      <w:r>
        <w:t xml:space="preserve">by per-field publish consent.</w:t>
      </w:r>
    </w:p>
    <w:p>
      <w:pPr>
        <w:pStyle w:val="Compact"/>
        <w:numPr>
          <w:ilvl w:val="0"/>
          <w:numId w:val="1002"/>
        </w:numPr>
      </w:pPr>
      <w:r>
        <w:t xml:space="preserve">Native support for</w:t>
      </w:r>
      <w:r>
        <w:t xml:space="preserve"> </w:t>
      </w:r>
      <w:r>
        <w:rPr>
          <w:b/>
          <w:bCs/>
        </w:rPr>
        <w:t xml:space="preserve">responsible-assessment outputs</w:t>
      </w:r>
      <w:r>
        <w:t xml:space="preserve">: opt-in, default-none,</w:t>
      </w:r>
      <w:r>
        <w:t xml:space="preserve"> </w:t>
      </w:r>
      <w:r>
        <w:t xml:space="preserve">field-normalized metrics; narrative-CV prose sections; and a catalog of</w:t>
      </w:r>
      <w:r>
        <w:t xml:space="preserve"> </w:t>
      </w:r>
      <w:r>
        <w:t xml:space="preserve">one-click, reversible CV-model layouts for grant funders, public institutions,</w:t>
      </w:r>
      <w:r>
        <w:t xml:space="preserve"> </w:t>
      </w:r>
      <w:r>
        <w:t xml:space="preserve">and industry/clinical roles.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consent-gated research-vehicle design</w:t>
      </w:r>
      <w:r>
        <w:t xml:space="preserve"> </w:t>
      </w:r>
      <w:r>
        <w:t xml:space="preserve">that turns routine use (mine/not-mine</w:t>
      </w:r>
      <w:r>
        <w:t xml:space="preserve"> </w:t>
      </w:r>
      <w:r>
        <w:t xml:space="preserve">corrections; CV-composition choices) into data for two pre-registered,</w:t>
      </w:r>
      <w:r>
        <w:t xml:space="preserve"> </w:t>
      </w:r>
      <w:r>
        <w:t xml:space="preserve">IRB-governed observational studies, while defaulting all logging off.</w:t>
      </w:r>
    </w:p>
    <w:bookmarkEnd w:id="11"/>
    <w:bookmarkStart w:id="12" w:name="background-and-related-work"/>
    <w:p>
      <w:pPr>
        <w:pStyle w:val="Heading2"/>
      </w:pPr>
      <w:r>
        <w:t xml:space="preserve">2. Background and related work</w:t>
      </w:r>
    </w:p>
    <w:p>
      <w:pPr>
        <w:pStyle w:val="FirstParagraph"/>
      </w:pPr>
      <w:r>
        <w:rPr>
          <w:b/>
          <w:bCs/>
        </w:rPr>
        <w:t xml:space="preserve">Researcher profile systems.</w:t>
      </w:r>
      <w:r>
        <w:t xml:space="preserve"> </w:t>
      </w:r>
      <w:r>
        <w:t xml:space="preserve">ORCID provides identifiers and a basic record;</w:t>
      </w:r>
      <w:r>
        <w:t xml:space="preserve"> </w:t>
      </w:r>
      <w:r>
        <w:t xml:space="preserve">Google Scholar, ResearchGate, and Academia.edu provide profiles but are closed,</w:t>
      </w:r>
      <w:r>
        <w:t xml:space="preserve"> </w:t>
      </w:r>
      <w:r>
        <w:t xml:space="preserve">often extractive, and not designed around reproducible, machine-readable output.</w:t>
      </w:r>
      <w:r>
        <w:t xml:space="preserve"> </w:t>
      </w:r>
      <w:r>
        <w:t xml:space="preserve">Reference managers (Zotero, Mendeley) and LaTeX packages (e.g.,</w:t>
      </w:r>
      <w:r>
        <w:t xml:space="preserve"> </w:t>
      </w:r>
      <w:r>
        <w:rPr>
          <w:rStyle w:val="VerbatimChar"/>
        </w:rPr>
        <w:t xml:space="preserve">moderncv</w:t>
      </w:r>
      <w:r>
        <w:t xml:space="preserve">,</w:t>
      </w:r>
      <w:r>
        <w:t xml:space="preserve"> </w:t>
      </w:r>
      <w:r>
        <w:rPr>
          <w:rStyle w:val="VerbatimChar"/>
        </w:rPr>
        <w:t xml:space="preserve">europecv</w:t>
      </w:r>
      <w:r>
        <w:t xml:space="preserve">) help typeset CVs but do not assemble them from open data. SigmaCV</w:t>
      </w:r>
      <w:r>
        <w:t xml:space="preserve"> </w:t>
      </w:r>
      <w:r>
        <w:t xml:space="preserve">differs in being open-source, non-extractive, identifier-driven, and FAIR-first,</w:t>
      </w:r>
      <w:r>
        <w:t xml:space="preserve"> </w:t>
      </w:r>
      <w:r>
        <w:t xml:space="preserve">and in deriving every format from one canonical object.</w:t>
      </w:r>
    </w:p>
    <w:p>
      <w:pPr>
        <w:pStyle w:val="BodyText"/>
      </w:pPr>
      <w:r>
        <w:rPr>
          <w:b/>
          <w:bCs/>
        </w:rPr>
        <w:t xml:space="preserve">Open scholarly metadata.</w:t>
      </w:r>
      <w:r>
        <w:t xml:space="preserve"> </w:t>
      </w:r>
      <w:r>
        <w:t xml:space="preserve">OpenAlex offers an open, queryable index that makes</w:t>
      </w:r>
      <w:r>
        <w:t xml:space="preserve"> </w:t>
      </w:r>
      <w:r>
        <w:t xml:space="preserve">automated CV assembly feasible without proprietary databases; ORCID supplies the</w:t>
      </w:r>
      <w:r>
        <w:t xml:space="preserve"> </w:t>
      </w:r>
      <w:r>
        <w:t xml:space="preserve">persistent identifier that anchors correct self-attribution; ROR canonicalizes</w:t>
      </w:r>
      <w:r>
        <w:t xml:space="preserve"> </w:t>
      </w:r>
      <w:r>
        <w:t xml:space="preserve">institutions; Crossref and DataCite resolve DOIs. SigmaCV is a</w:t>
      </w:r>
      <w:r>
        <w:t xml:space="preserve"> </w:t>
      </w:r>
      <w:r>
        <w:rPr>
          <w:i/>
          <w:iCs/>
        </w:rPr>
        <w:t xml:space="preserve">consumer</w:t>
      </w:r>
      <w:r>
        <w:t xml:space="preserve"> </w:t>
      </w:r>
      <w:r>
        <w:t xml:space="preserve">of this</w:t>
      </w:r>
      <w:r>
        <w:t xml:space="preserve"> </w:t>
      </w:r>
      <w:r>
        <w:t xml:space="preserve">commons and is designed to eventually</w:t>
      </w:r>
      <w:r>
        <w:t xml:space="preserve"> </w:t>
      </w:r>
      <w:r>
        <w:rPr>
          <w:i/>
          <w:iCs/>
        </w:rPr>
        <w:t xml:space="preserve">contribute back</w:t>
      </w:r>
      <w:r>
        <w:t xml:space="preserve"> </w:t>
      </w:r>
      <w:r>
        <w:t xml:space="preserve">(Section 6.3).</w:t>
      </w:r>
    </w:p>
    <w:p>
      <w:pPr>
        <w:pStyle w:val="BodyText"/>
      </w:pPr>
      <w:r>
        <w:rPr>
          <w:b/>
          <w:bCs/>
        </w:rPr>
        <w:t xml:space="preserve">Citation rendering.</w:t>
      </w:r>
      <w:r>
        <w:t xml:space="preserve"> </w:t>
      </w:r>
      <w:r>
        <w:t xml:space="preserve">SigmaCV uses the Citation Style Language (CSL) via</w:t>
      </w:r>
      <w:r>
        <w:t xml:space="preserve"> </w:t>
      </w:r>
      <w:r>
        <w:rPr>
          <w:rStyle w:val="VerbatimChar"/>
        </w:rPr>
        <w:t xml:space="preserve">citeproc-js</w:t>
      </w:r>
      <w:r>
        <w:t xml:space="preserve"> </w:t>
      </w:r>
      <w:r>
        <w:t xml:space="preserve">with the community CSL styles, so a single style choice applies</w:t>
      </w:r>
      <w:r>
        <w:t xml:space="preserve"> </w:t>
      </w:r>
      <w:r>
        <w:t xml:space="preserve">identically across every output — a property that hand-maintained CVs lack.</w:t>
      </w:r>
    </w:p>
    <w:p>
      <w:pPr>
        <w:pStyle w:val="BodyText"/>
      </w:pPr>
      <w:r>
        <w:rPr>
          <w:b/>
          <w:bCs/>
        </w:rPr>
        <w:t xml:space="preserve">Responsible assessment and narrative CVs.</w:t>
      </w:r>
      <w:r>
        <w:t xml:space="preserve"> </w:t>
      </w:r>
      <w:r>
        <w:t xml:space="preserve">DORA, the Leiden Manifesto, and</w:t>
      </w:r>
      <w:r>
        <w:t xml:space="preserve"> </w:t>
      </w:r>
      <w:r>
        <w:t xml:space="preserve">CoARA call for assessment that avoids journal-level proxies and values a broader</w:t>
      </w:r>
      <w:r>
        <w:t xml:space="preserve"> </w:t>
      </w:r>
      <w:r>
        <w:t xml:space="preserve">range of contributions; narrative-CV frameworks operationalize this. SigmaCV</w:t>
      </w:r>
      <w:r>
        <w:t xml:space="preserve"> </w:t>
      </w:r>
      <w:r>
        <w:t xml:space="preserve">encodes these as defaults (metrics off; field-normalized preferred) and as</w:t>
      </w:r>
      <w:r>
        <w:t xml:space="preserve"> </w:t>
      </w:r>
      <w:r>
        <w:t xml:space="preserve">first-class features (narrative prose sections; the CV-model catalog).</w:t>
      </w:r>
    </w:p>
    <w:bookmarkEnd w:id="12"/>
    <w:bookmarkStart w:id="17" w:name="design-principles-and-architecture"/>
    <w:p>
      <w:pPr>
        <w:pStyle w:val="Heading2"/>
      </w:pPr>
      <w:r>
        <w:t xml:space="preserve">3. Design principles and architecture</w:t>
      </w:r>
    </w:p>
    <w:p>
      <w:pPr>
        <w:pStyle w:val="FirstParagraph"/>
      </w:pPr>
      <w:r>
        <w:t xml:space="preserve">SigmaCV is built around four load-bearing principles.</w:t>
      </w:r>
    </w:p>
    <w:p>
      <w:pPr>
        <w:pStyle w:val="BodyText"/>
      </w:pPr>
      <w:r>
        <w:rPr>
          <w:b/>
          <w:bCs/>
        </w:rPr>
        <w:t xml:space="preserve">(P1) One canonical object; many renderers.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CanonicalCv</w:t>
      </w:r>
      <w:r>
        <w:t xml:space="preserve"> </w:t>
      </w:r>
      <w:r>
        <w:t xml:space="preserve">is a single,</w:t>
      </w:r>
      <w:r>
        <w:t xml:space="preserve"> </w:t>
      </w:r>
      <w:r>
        <w:t xml:space="preserve">schema-versioned, Zod-validated JSON document = curated data + the user’s display</w:t>
      </w:r>
      <w:r>
        <w:t xml:space="preserve"> </w:t>
      </w:r>
      <w:r>
        <w:t xml:space="preserve">choices. Every renderer (HTML/PDF/DOCX/LaTeX/Markdown/BibTeX/CSL-JSON/JSON</w:t>
      </w:r>
      <w:r>
        <w:t xml:space="preserve"> </w:t>
      </w:r>
      <w:r>
        <w:t xml:space="preserve">Résumé/funder drafts) is a pure function of this object; there are no per-format</w:t>
      </w:r>
      <w:r>
        <w:t xml:space="preserve"> </w:t>
      </w:r>
      <w:r>
        <w:t xml:space="preserve">data pipelines. This guarantees that what the user curates once appears</w:t>
      </w:r>
      <w:r>
        <w:t xml:space="preserve"> </w:t>
      </w:r>
      <w:r>
        <w:t xml:space="preserve">consistently everywhere, and that citations — produced only through CSL/citeproc —</w:t>
      </w:r>
      <w:r>
        <w:t xml:space="preserve"> </w:t>
      </w:r>
      <w:r>
        <w:t xml:space="preserve">are byte-identical across formats.</w:t>
      </w:r>
    </w:p>
    <w:p>
      <w:pPr>
        <w:pStyle w:val="BodyText"/>
      </w:pPr>
      <w:r>
        <w:rPr>
          <w:b/>
          <w:bCs/>
        </w:rPr>
        <w:t xml:space="preserve">(P2) Identifier-driven, never name-based.</w:t>
      </w:r>
      <w:r>
        <w:t xml:space="preserve"> </w:t>
      </w:r>
      <w:r>
        <w:t xml:space="preserve">Self-attribution (</w:t>
      </w:r>
      <w:r>
        <w:rPr>
          <w:rStyle w:val="VerbatimChar"/>
        </w:rPr>
        <w:t xml:space="preserve">authoredBySelf</w:t>
      </w:r>
      <w:r>
        <w:t xml:space="preserve">)</w:t>
      </w:r>
      <w:r>
        <w:t xml:space="preserve"> </w:t>
      </w:r>
      <w:r>
        <w:t xml:space="preserve">and self-name highlighting are computed by matching the account holder’s ORCID and</w:t>
      </w:r>
      <w:r>
        <w:t xml:space="preserve"> </w:t>
      </w:r>
      <w:r>
        <w:t xml:space="preserve">OpenAlex author identifiers against each work’s authorships; the matched name</w:t>
      </w:r>
      <w:r>
        <w:t xml:space="preserve"> </w:t>
      </w:r>
      <w:r>
        <w:rPr>
          <w:i/>
          <w:iCs/>
        </w:rPr>
        <w:t xml:space="preserve">as</w:t>
      </w:r>
      <w:r>
        <w:rPr>
          <w:i/>
          <w:iCs/>
        </w:rPr>
        <w:t xml:space="preserve"> </w:t>
      </w:r>
      <w:r>
        <w:rPr>
          <w:i/>
          <w:iCs/>
        </w:rPr>
        <w:t xml:space="preserve">printed on that work</w:t>
      </w:r>
      <w:r>
        <w:t xml:space="preserve"> </w:t>
      </w:r>
      <w:r>
        <w:t xml:space="preserve">is captured for highlighting. Name strings are never used to</w:t>
      </w:r>
      <w:r>
        <w:t xml:space="preserve"> </w:t>
      </w:r>
      <w:r>
        <w:t xml:space="preserve">decide ownership, eliminating a major source of disambiguation error for common</w:t>
      </w:r>
      <w:r>
        <w:t xml:space="preserve"> </w:t>
      </w:r>
      <w:r>
        <w:t xml:space="preserve">names and CJK scripts and making the highlight robust across name variants.</w:t>
      </w:r>
    </w:p>
    <w:p>
      <w:pPr>
        <w:pStyle w:val="BodyText"/>
      </w:pPr>
      <w:r>
        <w:rPr>
          <w:b/>
          <w:bCs/>
        </w:rPr>
        <w:t xml:space="preserve">(P3) Curation as immutable, reversible operations.</w:t>
      </w:r>
      <w:r>
        <w:t xml:space="preserve"> </w:t>
      </w:r>
      <w:r>
        <w:t xml:space="preserve">Curation (</w:t>
      </w:r>
      <w:r>
        <w:t xml:space="preserve">“not mine”</w:t>
      </w:r>
      <w:r>
        <w:t xml:space="preserve">,</w:t>
      </w:r>
      <w:r>
        <w:t xml:space="preserve"> </w:t>
      </w:r>
      <w:r>
        <w:t xml:space="preserve">reorder, show/hide, rename, style) is a set of pure functions that return new</w:t>
      </w:r>
      <w:r>
        <w:t xml:space="preserve"> </w:t>
      </w:r>
      <w:r>
        <w:t xml:space="preserve">objects.</w:t>
      </w:r>
      <w:r>
        <w:t xml:space="preserve"> </w:t>
      </w:r>
      <w:r>
        <w:t xml:space="preserve">“Not mine”</w:t>
      </w:r>
      <w:r>
        <w:t xml:space="preserve"> </w:t>
      </w:r>
      <w:r>
        <w:rPr>
          <w:i/>
          <w:iCs/>
        </w:rPr>
        <w:t xml:space="preserve">hides</w:t>
      </w:r>
      <w:r>
        <w:t xml:space="preserve"> </w:t>
      </w:r>
      <w:r>
        <w:t xml:space="preserve">a work and records a structured reason; it never</w:t>
      </w:r>
      <w:r>
        <w:t xml:space="preserve"> </w:t>
      </w:r>
      <w:r>
        <w:t xml:space="preserve">deletes it, preserving the correction signal for research (Section 7) and for a</w:t>
      </w:r>
      <w:r>
        <w:t xml:space="preserve"> </w:t>
      </w:r>
      <w:r>
        <w:t xml:space="preserve">future upstream push (Section 6.3).</w:t>
      </w:r>
    </w:p>
    <w:p>
      <w:pPr>
        <w:pStyle w:val="BodyText"/>
      </w:pPr>
      <w:r>
        <w:rPr>
          <w:b/>
          <w:bCs/>
        </w:rPr>
        <w:t xml:space="preserve">(P4) FAIR and privacy by construction.</w:t>
      </w:r>
      <w:r>
        <w:t xml:space="preserve"> </w:t>
      </w:r>
      <w:r>
        <w:t xml:space="preserve">Provenance is attached to every record</w:t>
      </w:r>
      <w:r>
        <w:t xml:space="preserve"> </w:t>
      </w:r>
      <w:r>
        <w:t xml:space="preserve">(source, match basis, sync timestamps); public output passes through a single</w:t>
      </w:r>
      <w:r>
        <w:t xml:space="preserve"> </w:t>
      </w:r>
      <w:r>
        <w:t xml:space="preserve">consent-gating projection; metrics are opt-in and default-none. These are</w:t>
      </w:r>
      <w:r>
        <w:t xml:space="preserve"> </w:t>
      </w:r>
      <w:r>
        <w:t xml:space="preserve">architectural invariants, not configuration.</w:t>
      </w:r>
    </w:p>
    <w:p>
      <w:pPr>
        <w:pStyle w:val="BodyText"/>
      </w:pPr>
      <w:r>
        <w:rPr>
          <w:b/>
          <w:bCs/>
        </w:rPr>
        <w:t xml:space="preserve">System overview.</w:t>
      </w:r>
      <w:r>
        <w:t xml:space="preserve"> </w:t>
      </w:r>
      <w:r>
        <w:t xml:space="preserve">SigmaCV is a Next.js (App Router) + TypeScript application</w:t>
      </w:r>
      <w:r>
        <w:t xml:space="preserve"> </w:t>
      </w:r>
      <w:r>
        <w:t xml:space="preserve">with a PostgreSQL/Prisma datastore and Auth.js authentication (ORCID OIDC, Google,</w:t>
      </w:r>
      <w:r>
        <w:t xml:space="preserve"> </w:t>
      </w:r>
      <w:r>
        <w:t xml:space="preserve">and passwordless email). External clients for OpenAlex, ORCID, Crossref, ROR,</w:t>
      </w:r>
      <w:r>
        <w:t xml:space="preserve"> </w:t>
      </w:r>
      <w:r>
        <w:t xml:space="preserve">DataCite, and Open Editors Plus each use a polite-pool contact and a shared,</w:t>
      </w:r>
      <w:r>
        <w:t xml:space="preserve"> </w:t>
      </w:r>
      <w:r>
        <w:t xml:space="preserve">rate-limited fetch wrapper. PDF rendering is performed by printing the HTML</w:t>
      </w:r>
      <w:r>
        <w:t xml:space="preserve"> </w:t>
      </w:r>
      <w:r>
        <w:t xml:space="preserve">template through headless Chromium (Playwright). The whole stack is packaged for a</w:t>
      </w:r>
      <w:r>
        <w:t xml:space="preserve"> </w:t>
      </w:r>
      <w:r>
        <w:t xml:space="preserve">single-VPS deployment via Docker Compose (application + Postgres + Caddy for</w:t>
      </w:r>
      <w:r>
        <w:t xml:space="preserve"> </w:t>
      </w:r>
      <w:r>
        <w:t xml:space="preserve">automatic TLS).</w:t>
      </w:r>
    </w:p>
    <w:bookmarkStart w:id="16" w:name="Xf4f1e0d4d620d2116a9b71fbaba463d5d44e2c6"/>
    <w:p>
      <w:pPr>
        <w:pStyle w:val="Heading3"/>
      </w:pPr>
      <w:r>
        <w:t xml:space="preserve">3.5 Empirical justification of (P2): the name-collision burden</w:t>
      </w:r>
    </w:p>
    <w:p>
      <w:pPr>
        <w:pStyle w:val="FirstParagraph"/>
      </w:pPr>
      <w:r>
        <w:t xml:space="preserve">The identifier-only rule (P2) is not merely a robustness preference: without it, a</w:t>
      </w:r>
      <w:r>
        <w:t xml:space="preserve"> </w:t>
      </w:r>
      <w:r>
        <w:t xml:space="preserve">CV tool cannot attribute works correctly at all for a large class of researchers.</w:t>
      </w:r>
      <w:r>
        <w:t xml:space="preserve"> </w:t>
      </w:r>
      <w:r>
        <w:t xml:space="preserve">To quantify this we measured the</w:t>
      </w:r>
      <w:r>
        <w:t xml:space="preserve"> </w:t>
      </w:r>
      <w:r>
        <w:rPr>
          <w:b/>
          <w:bCs/>
        </w:rPr>
        <w:t xml:space="preserve">name-collision burden</w:t>
      </w:r>
      <w:r>
        <w:t xml:space="preserve"> </w:t>
      </w:r>
      <w:r>
        <w:t xml:space="preserve">on public OpenAlex</w:t>
      </w:r>
      <w:r>
        <w:t xml:space="preserve"> </w:t>
      </w:r>
      <w:r>
        <w:t xml:space="preserve">metadata — for a researcher with a given printed name, how many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OpenAlex</w:t>
      </w:r>
      <w:r>
        <w:t xml:space="preserve"> </w:t>
      </w:r>
      <w:r>
        <w:t xml:space="preserve">author identities share that name and would therefore be conflated by any</w:t>
      </w:r>
      <w:r>
        <w:t xml:space="preserve"> </w:t>
      </w:r>
      <w:r>
        <w:t xml:space="preserve">name-string attribution. This is a mechanical property of the matching strategy,</w:t>
      </w:r>
      <w:r>
        <w:t xml:space="preserve"> </w:t>
      </w:r>
      <w:r>
        <w:t xml:space="preserve">computed entirely from public bibliographic metadata;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attribution-error rate and uses no human adjudication (see the boundary note</w:t>
      </w:r>
      <w:r>
        <w:t xml:space="preserve"> </w:t>
      </w:r>
      <w:r>
        <w:t xml:space="preserve">below).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From OpenAlex (snapshot 2026-06-11) we drew a reproducible random</w:t>
      </w:r>
      <w:r>
        <w:t xml:space="preserve"> </w:t>
      </w:r>
      <w:r>
        <w:t xml:space="preserve">sample (</w:t>
      </w:r>
      <w:r>
        <w:rPr>
          <w:rStyle w:val="VerbatimChar"/>
        </w:rPr>
        <w:t xml:space="preserve">sample</w:t>
      </w:r>
      <w:r>
        <w:t xml:space="preserve"> </w:t>
      </w:r>
      <w:r>
        <w:t xml:space="preserve">with a fixed</w:t>
      </w:r>
      <w:r>
        <w:t xml:space="preserve"> </w:t>
      </w:r>
      <w:r>
        <w:rPr>
          <w:rStyle w:val="VerbatimChar"/>
        </w:rPr>
        <w:t xml:space="preserve">seed</w:t>
      </w:r>
      <w:r>
        <w:t xml:space="preserve">) of ORCID-bearing author profiles, stratified</w:t>
      </w:r>
      <w:r>
        <w:t xml:space="preserve"> </w:t>
      </w:r>
      <w:r>
        <w:t xml:space="preserve">by last-known-institution country into three name-origin groups — East Asian</w:t>
      </w:r>
      <w:r>
        <w:t xml:space="preserve"> </w:t>
      </w:r>
      <w:r>
        <w:t xml:space="preserve">(JP/CN/KR/TW/HK), Anglophone (US/GB/AU/CA/NZ/IE), and Other European</w:t>
      </w:r>
      <w:r>
        <w:t xml:space="preserve"> </w:t>
      </w:r>
      <w:r>
        <w:t xml:space="preserve">(FR/DE/ES/IT/PT/NL/SE/PL/BR) — with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130 each (390 total). For each sampled</w:t>
      </w:r>
      <w:r>
        <w:t xml:space="preserve"> </w:t>
      </w:r>
      <w:r>
        <w:t xml:space="preserve">researcher we queried OpenAlex for the number of distinct author entities whose</w:t>
      </w:r>
      <w:r>
        <w:t xml:space="preserve"> </w:t>
      </w:r>
      <w:r>
        <w:t xml:space="preserve">display name matches theirs under OpenAlex’s token-based name search; because</w:t>
      </w:r>
      <w:r>
        <w:t xml:space="preserve"> </w:t>
      </w:r>
      <w:r>
        <w:t xml:space="preserve">OpenAlex author entities are themselves disambiguated, this count approximates the</w:t>
      </w:r>
      <w:r>
        <w:t xml:space="preserve"> </w:t>
      </w:r>
      <w:r>
        <w:t xml:space="preserve">number of distinct real people sharing the name. The analysis script and the raw</w:t>
      </w:r>
      <w:r>
        <w:t xml:space="preserve"> </w:t>
      </w:r>
      <w:r>
        <w:t xml:space="preserve">per-author data are released for reproducibility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scripts/benchmark-namesake-ambiguity.ts</w:t>
      </w:r>
      <w:r>
        <w:t xml:space="preserve">;</w:t>
      </w:r>
      <w:r>
        <w:t xml:space="preserve"> </w:t>
      </w:r>
      <w:r>
        <w:rPr>
          <w:rStyle w:val="VerbatimChar"/>
        </w:rPr>
        <w:t xml:space="preserve">docs/paper/benchmark/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Results (Table 1, Figure 1).</w:t>
      </w:r>
      <w:r>
        <w:t xml:space="preserve"> </w:t>
      </w:r>
      <w:r>
        <w:t xml:space="preserve">Name-collision burden is heavy and starkly</w:t>
      </w:r>
      <w:r>
        <w:t xml:space="preserve"> </w:t>
      </w:r>
      <w:r>
        <w:t xml:space="preserve">unequal across name origins.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990"/>
        <w:gridCol w:w="1237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Stratum (n=130 each)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 Asian (JP/CN/KR/TW/HK)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4–197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2,330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15,833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Anglophone (US/GB/AU/CA/NZ/IE)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1–10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European (FR/DE/ES/…/BR)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strata (n=390)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1–17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13%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1. Distinct OpenAlex author identities sharing a sampled researcher’s</w:t>
      </w:r>
      <w:r>
        <w:rPr>
          <w:i/>
          <w:iCs/>
        </w:rPr>
        <w:t xml:space="preserve"> </w:t>
      </w:r>
      <w:r>
        <w:rPr>
          <w:i/>
          <w:iCs/>
        </w:rPr>
        <w:t xml:space="preserve">printed name (OpenAlex 2026-06-11; the count includes the researcher, so a value</w:t>
      </w:r>
      <w:r>
        <w:rPr>
          <w:i/>
          <w:iCs/>
        </w:rPr>
        <w:t xml:space="preserve"> </w:t>
      </w:r>
      <w:r>
        <w:rPr>
          <w:i/>
          <w:iCs/>
        </w:rPr>
        <w:t xml:space="preserve">of 1 is unambiguous).</w:t>
      </w:r>
      <w:r>
        <w:rPr>
          <w:i/>
          <w:iCs/>
        </w:rPr>
        <w:t xml:space="preserve"> </w:t>
      </w:r>
      <w:r>
        <w:rPr>
          <w:i/>
          <w:iCs/>
        </w:rPr>
        <w:t xml:space="preserve">“≥2/≥10/≥100”</w:t>
      </w:r>
      <w:r>
        <w:rPr>
          <w:i/>
          <w:iCs/>
        </w:rPr>
        <w:t xml:space="preserve"> </w:t>
      </w:r>
      <w:r>
        <w:rPr>
          <w:i/>
          <w:iCs/>
        </w:rPr>
        <w:t xml:space="preserve">are the share of researchers whose name</w:t>
      </w:r>
      <w:r>
        <w:rPr>
          <w:i/>
          <w:iCs/>
        </w:rPr>
        <w:t xml:space="preserve"> </w:t>
      </w:r>
      <w:r>
        <w:rPr>
          <w:i/>
          <w:iCs/>
        </w:rPr>
        <w:t xml:space="preserve">collides with at least that many identities.</w:t>
      </w:r>
    </w:p>
    <w:p>
      <w:pPr>
        <w:pStyle w:val="CaptionedFigure"/>
      </w:pPr>
      <w:r>
        <w:drawing>
          <wp:inline>
            <wp:extent cx="5334000" cy="2933700"/>
            <wp:effectExtent b="0" l="0" r="0" t="0"/>
            <wp:docPr descr="Figure 1. Name-collision burden by name-origin stratum (log scale)." title="" id="14" name="Picture"/>
            <a:graphic>
              <a:graphicData uri="http://schemas.openxmlformats.org/drawingml/2006/picture">
                <pic:pic>
                  <pic:nvPicPr>
                    <pic:cNvPr descr="benchmark/namesake-figur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Name-collision burden by name-origin stratum (log scale).</w:t>
      </w:r>
    </w:p>
    <w:p>
      <w:pPr>
        <w:pStyle w:val="BodyText"/>
      </w:pPr>
      <w:r>
        <w:rPr>
          <w:i/>
          <w:iCs/>
        </w:rPr>
        <w:t xml:space="preserve">Figure 1. Name-collision burden by stratum (log scale; box = IQR, whisker =</w:t>
      </w:r>
      <w:r>
        <w:rPr>
          <w:i/>
          <w:iCs/>
        </w:rPr>
        <w:t xml:space="preserve"> </w:t>
      </w:r>
      <w:r>
        <w:rPr>
          <w:i/>
          <w:iCs/>
        </w:rPr>
        <w:t xml:space="preserve">p10–p90, ● = maximum). Rendered SVG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docs/paper/benchmark/namesake-figure.svg</w:t>
      </w:r>
      <w:r>
        <w:rPr>
          <w:i/>
          <w:iCs/>
        </w:rPr>
        <w:t xml:space="preserve">.</w:t>
      </w:r>
    </w:p>
    <w:p>
      <w:pPr>
        <w:pStyle w:val="BodyText"/>
      </w:pPr>
      <w:r>
        <w:t xml:space="preserve">The median researcher in the East-Asian-affiliated stratum shares a printed name</w:t>
      </w:r>
      <w:r>
        <w:t xml:space="preserve"> </w:t>
      </w:r>
      <w:r>
        <w:t xml:space="preserve">with 13 distinct OpenAlex identities (IQR 4–197; 90th percentile 2,330), and 30%</w:t>
      </w:r>
      <w:r>
        <w:t xml:space="preserve"> </w:t>
      </w:r>
      <w:r>
        <w:t xml:space="preserve">share a name with ≥ 100 identities; the most ambiguous sampled name (</w:t>
      </w:r>
      <w:r>
        <w:t xml:space="preserve">“J Zhang”</w:t>
      </w:r>
      <w:r>
        <w:t xml:space="preserve">)</w:t>
      </w:r>
      <w:r>
        <w:t xml:space="preserve"> </w:t>
      </w:r>
      <w:r>
        <w:t xml:space="preserve">collides with 15,833 distinct author profiles. By contrast, the median Anglophone</w:t>
      </w:r>
      <w:r>
        <w:t xml:space="preserve"> </w:t>
      </w:r>
      <w:r>
        <w:t xml:space="preserve">and Other-European researcher shares a name with only 2 identities. Name-based</w:t>
      </w:r>
      <w:r>
        <w:t xml:space="preserve"> </w:t>
      </w:r>
      <w:r>
        <w:t xml:space="preserve">attribution would therefore conflate the median East-Asian-affiliated account</w:t>
      </w:r>
      <w:r>
        <w:t xml:space="preserve"> </w:t>
      </w:r>
      <w:r>
        <w:t xml:space="preserve">holder with a dozen other people — and a sizeable minority with hundreds to</w:t>
      </w:r>
      <w:r>
        <w:t xml:space="preserve"> </w:t>
      </w:r>
      <w:r>
        <w:t xml:space="preserve">thousands — making correct name-based CV assembly impossible for exactly the</w:t>
      </w:r>
      <w:r>
        <w:t xml:space="preserve"> </w:t>
      </w:r>
      <w:r>
        <w:t xml:space="preserve">populations most exposed to romanization. Identifier matching (P2) collapses every</w:t>
      </w:r>
      <w:r>
        <w:t xml:space="preserve"> </w:t>
      </w:r>
      <w:r>
        <w:t xml:space="preserve">one of these sets to a single, correct author.</w:t>
      </w:r>
    </w:p>
    <w:p>
      <w:pPr>
        <w:pStyle w:val="BodyText"/>
      </w:pPr>
      <w:r>
        <w:t xml:space="preserve">Two features make the measured gap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 First, country is only a</w:t>
      </w:r>
      <w:r>
        <w:t xml:space="preserve"> </w:t>
      </w:r>
      <w:r>
        <w:t xml:space="preserve">proxy for name origin: the heavy tails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the Anglophone and Other-European</w:t>
      </w:r>
      <w:r>
        <w:t xml:space="preserve"> </w:t>
      </w:r>
      <w:r>
        <w:t xml:space="preserve">strata are themselves romanized East-Asian names held by researchers at Western</w:t>
      </w:r>
      <w:r>
        <w:t xml:space="preserve"> </w:t>
      </w:r>
      <w:r>
        <w:t xml:space="preserve">institutions (e.g.,</w:t>
      </w:r>
      <w:r>
        <w:t xml:space="preserve"> </w:t>
      </w:r>
      <w:r>
        <w:t xml:space="preserve">“Xiang Li”</w:t>
      </w:r>
      <w:r>
        <w:t xml:space="preserve">,</w:t>
      </w:r>
      <w:r>
        <w:t xml:space="preserve"> </w:t>
      </w:r>
      <w:r>
        <w:t xml:space="preserve">“Ping Xu”</w:t>
      </w:r>
      <w:r>
        <w:t xml:space="preserve">,</w:t>
      </w:r>
      <w:r>
        <w:t xml:space="preserve"> </w:t>
      </w:r>
      <w:r>
        <w:t xml:space="preserve">“Qing Zhu”</w:t>
      </w:r>
      <w:r>
        <w:t xml:space="preserve">), so cross-origin leakage</w:t>
      </w:r>
      <w:r>
        <w:t xml:space="preserve"> </w:t>
      </w:r>
      <w:r>
        <w:t xml:space="preserve">attenuates the between-group difference rather than inflating it. Second, the count</w:t>
      </w:r>
      <w:r>
        <w:t xml:space="preserve"> </w:t>
      </w:r>
      <w:r>
        <w:t xml:space="preserve">is restricted to entities OpenAlex has</w:t>
      </w:r>
      <w:r>
        <w:t xml:space="preserve"> </w:t>
      </w:r>
      <w:r>
        <w:rPr>
          <w:i/>
          <w:iCs/>
        </w:rPr>
        <w:t xml:space="preserve">already</w:t>
      </w:r>
      <w:r>
        <w:t xml:space="preserve"> </w:t>
      </w:r>
      <w:r>
        <w:t xml:space="preserve">disambiguated; any residual</w:t>
      </w:r>
      <w:r>
        <w:t xml:space="preserve"> </w:t>
      </w:r>
      <w:r>
        <w:t xml:space="preserve">under-splitting would only increase real-world conflation.</w:t>
      </w:r>
    </w:p>
    <w:p>
      <w:pPr>
        <w:pStyle w:val="BodyText"/>
      </w:pPr>
      <w:r>
        <w:rPr>
          <w:b/>
          <w:bCs/>
        </w:rPr>
        <w:t xml:space="preserve">Boundary with the planned disambiguation study.</w:t>
      </w:r>
      <w:r>
        <w:t xml:space="preserve"> </w:t>
      </w:r>
      <w:r>
        <w:t xml:space="preserve">This benchmark measures</w:t>
      </w:r>
      <w:r>
        <w:t xml:space="preserve"> </w:t>
      </w:r>
      <w:r>
        <w:rPr>
          <w:i/>
          <w:iCs/>
        </w:rPr>
        <w:t xml:space="preserve">name</w:t>
      </w:r>
      <w:r>
        <w:rPr>
          <w:i/>
          <w:iCs/>
        </w:rPr>
        <w:t xml:space="preserve"> </w:t>
      </w:r>
      <w:r>
        <w:rPr>
          <w:i/>
          <w:iCs/>
        </w:rPr>
        <w:t xml:space="preserve">ambiguity</w:t>
      </w:r>
      <w:r>
        <w:t xml:space="preserve"> </w:t>
      </w:r>
      <w:r>
        <w:t xml:space="preserve">on public data — a property of names, not of any source’s mistakes. The</w:t>
      </w:r>
      <w:r>
        <w:t xml:space="preserve"> </w:t>
      </w:r>
      <w:r>
        <w:t xml:space="preserve">complementary question — the real rate at which even identifier-anchored</w:t>
      </w:r>
      <w:r>
        <w:t xml:space="preserve"> </w:t>
      </w:r>
      <w:r>
        <w:t xml:space="preserve">attribution is wrong, its distortion of bibliometric indicators, and its equity</w:t>
      </w:r>
      <w:r>
        <w:t xml:space="preserve"> </w:t>
      </w:r>
      <w:r>
        <w:t xml:space="preserve">dimensions — requires researchers’ own per-work adjudications and is the subject of</w:t>
      </w:r>
      <w:r>
        <w:t xml:space="preserve"> </w:t>
      </w:r>
      <w:r>
        <w:t xml:space="preserve">a separate, consent-based, IRB-governed study (Section 7), which this paper sets up</w:t>
      </w:r>
      <w:r>
        <w:t xml:space="preserve"> </w:t>
      </w:r>
      <w:r>
        <w:t xml:space="preserve">but does not pre-empt.</w:t>
      </w:r>
    </w:p>
    <w:bookmarkEnd w:id="16"/>
    <w:bookmarkEnd w:id="17"/>
    <w:bookmarkStart w:id="18" w:name="implementation"/>
    <w:p>
      <w:pPr>
        <w:pStyle w:val="Heading2"/>
      </w:pPr>
      <w:r>
        <w:t xml:space="preserve">4. Implementation</w:t>
      </w:r>
    </w:p>
    <w:p>
      <w:pPr>
        <w:pStyle w:val="FirstParagraph"/>
      </w:pPr>
      <w:r>
        <w:rPr>
          <w:b/>
          <w:bCs/>
        </w:rPr>
        <w:t xml:space="preserve">Data assembly.</w:t>
      </w:r>
      <w:r>
        <w:t xml:space="preserve"> </w:t>
      </w:r>
      <w:r>
        <w:t xml:space="preserve">On first sign-in, SigmaCV resolves the user’s OpenAlex author</w:t>
      </w:r>
      <w:r>
        <w:t xml:space="preserve"> </w:t>
      </w:r>
      <w:r>
        <w:t xml:space="preserve">identifier(s) from their ORCID iD, pulls their works, and assembles the canonical</w:t>
      </w:r>
      <w:r>
        <w:t xml:space="preserve"> </w:t>
      </w:r>
      <w:r>
        <w:t xml:space="preserve">object. ORCID’s public API contributes positions, education, awards, service,</w:t>
      </w:r>
      <w:r>
        <w:t xml:space="preserve"> </w:t>
      </w:r>
      <w:r>
        <w:t xml:space="preserve">peer-review, and funding; Crossref gap-fills bibliographic metadata; ROR</w:t>
      </w:r>
      <w:r>
        <w:t xml:space="preserve"> </w:t>
      </w:r>
      <w:r>
        <w:t xml:space="preserve">canonicalizes institutional affiliations (and now records the ROR identifier);</w:t>
      </w:r>
      <w:r>
        <w:t xml:space="preserve"> </w:t>
      </w:r>
      <w:r>
        <w:t xml:space="preserve">DataCite contributes datasets and software. All external calls are unit-tested</w:t>
      </w:r>
      <w:r>
        <w:t xml:space="preserve"> </w:t>
      </w:r>
      <w:r>
        <w:t xml:space="preserve">against mocked responses, so the build is deterministic and offline-testable.</w:t>
      </w:r>
    </w:p>
    <w:p>
      <w:pPr>
        <w:pStyle w:val="BodyText"/>
      </w:pPr>
      <w:r>
        <w:rPr>
          <w:b/>
          <w:bCs/>
        </w:rPr>
        <w:t xml:space="preserve">Rendering and citations.</w:t>
      </w:r>
      <w:r>
        <w:t xml:space="preserve"> </w:t>
      </w:r>
      <w:r>
        <w:t xml:space="preserve">Output formats derive from the canonical object via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Renderer</w:t>
      </w:r>
      <w:r>
        <w:t xml:space="preserve"> </w:t>
      </w:r>
      <w:r>
        <w:t xml:space="preserve">interface. Citations are produced once, through CSL/citeproc,</w:t>
      </w:r>
      <w:r>
        <w:t xml:space="preserve"> </w:t>
      </w:r>
      <w:r>
        <w:t xml:space="preserve">from vendored CSL styles and locales, ensuring identical formatting across HTML,</w:t>
      </w:r>
      <w:r>
        <w:t xml:space="preserve"> </w:t>
      </w:r>
      <w:r>
        <w:t xml:space="preserve">PDF, DOCX, LaTeX, Markdown, BibTeX, and CSL-JSON.</w:t>
      </w:r>
    </w:p>
    <w:p>
      <w:pPr>
        <w:pStyle w:val="BodyText"/>
      </w:pPr>
      <w:r>
        <w:rPr>
          <w:b/>
          <w:bCs/>
        </w:rPr>
        <w:t xml:space="preserve">Internationalization.</w:t>
      </w:r>
      <w:r>
        <w:t xml:space="preserve"> </w:t>
      </w:r>
      <w:r>
        <w:t xml:space="preserve">The interface and rendered strings are available in ten</w:t>
      </w:r>
      <w:r>
        <w:t xml:space="preserve"> </w:t>
      </w:r>
      <w:r>
        <w:t xml:space="preserve">locales (en, zh, es, fr, de, ja, pt, it, ko, ru); the string tables are typed so</w:t>
      </w:r>
      <w:r>
        <w:t xml:space="preserve"> </w:t>
      </w:r>
      <w:r>
        <w:t xml:space="preserve">that adding a key forces a value in every locale at compile time.</w:t>
      </w:r>
    </w:p>
    <w:bookmarkEnd w:id="18"/>
    <w:bookmarkStart w:id="19" w:name="features"/>
    <w:p>
      <w:pPr>
        <w:pStyle w:val="Heading2"/>
      </w:pPr>
      <w:r>
        <w:t xml:space="preserve">5.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Curate.</w:t>
      </w:r>
      <w:r>
        <w:t xml:space="preserve"> </w:t>
      </w:r>
      <w:r>
        <w:t xml:space="preserve">Remove misattributed works (</w:t>
      </w:r>
      <w:r>
        <w:t xml:space="preserve">“not mine”</w:t>
      </w:r>
      <w:r>
        <w:t xml:space="preserve"> </w:t>
      </w:r>
      <w:r>
        <w:t xml:space="preserve">with a reason), reorder,</w:t>
      </w:r>
      <w:r>
        <w:t xml:space="preserve"> </w:t>
      </w:r>
      <w:r>
        <w:t xml:space="preserve">choose and rename sections;</w:t>
      </w:r>
      <w:r>
        <w:t xml:space="preserve"> </w:t>
      </w:r>
      <w:r>
        <w:t xml:space="preserve">“selected publications”</w:t>
      </w:r>
      <w:r>
        <w:t xml:space="preserve"> </w:t>
      </w:r>
      <w:r>
        <w:t xml:space="preserve">limits for two-page CVs.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Style.</w:t>
      </w:r>
      <w:r>
        <w:t xml:space="preserve"> </w:t>
      </w:r>
      <w:r>
        <w:t xml:space="preserve">Choose a CSL citation style; identifier-driven self-name highlight;</w:t>
      </w:r>
      <w:r>
        <w:t xml:space="preserve"> </w:t>
      </w:r>
      <w:r>
        <w:t xml:space="preserve">templates and constrained customization (accent colour, fonts, density).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Export.</w:t>
      </w:r>
      <w:r>
        <w:t xml:space="preserve"> </w:t>
      </w:r>
      <w:r>
        <w:t xml:space="preserve">PDF, DOCX, LaTeX, Markdown, BibTeX, CSL-JSON, JSON Résumé, and</w:t>
      </w:r>
      <w:r>
        <w:t xml:space="preserve"> </w:t>
      </w:r>
      <w:r>
        <w:t xml:space="preserve">funder-structured Markdown drafts (NIH biosketch; ERC; MSCA; NSF; JSPS/KAKENHI).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Publish.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living</w:t>
      </w:r>
      <w:r>
        <w:t xml:space="preserve"> </w:t>
      </w:r>
      <w:r>
        <w:t xml:space="preserve">public page that re-syncs from open sources; it is</w:t>
      </w:r>
      <w:r>
        <w:t xml:space="preserve"> </w:t>
      </w:r>
      <w:r>
        <w:t xml:space="preserve">machine-readable (schema.org JSON-LD; content-negotiated CSL-JSON / BibTeX /</w:t>
      </w:r>
      <w:r>
        <w:t xml:space="preserve"> </w:t>
      </w:r>
      <w:r>
        <w:t xml:space="preserve">JSON) and indexable only on explicit opt-in.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Narrative / prose sections.</w:t>
      </w:r>
      <w:r>
        <w:t xml:space="preserve"> </w:t>
      </w:r>
      <w:r>
        <w:t xml:space="preserve">The R4RI / Royal Society contribution modules</w:t>
      </w:r>
      <w:r>
        <w:t xml:space="preserve"> </w:t>
      </w:r>
      <w:r>
        <w:t xml:space="preserve">(contributions to the generation of knowledge; to the development of</w:t>
      </w:r>
      <w:r>
        <w:t xml:space="preserve"> </w:t>
      </w:r>
      <w:r>
        <w:t xml:space="preserve">individuals; to the wider research community; to broader society) plus a generic</w:t>
      </w:r>
      <w:r>
        <w:t xml:space="preserve"> </w:t>
      </w:r>
      <w:r>
        <w:t xml:space="preserve">statement are first-class</w:t>
      </w:r>
      <w:r>
        <w:t xml:space="preserve"> </w:t>
      </w:r>
      <w:r>
        <w:rPr>
          <w:b/>
          <w:bCs/>
        </w:rPr>
        <w:t xml:space="preserve">prose sections</w:t>
      </w:r>
      <w:r>
        <w:t xml:space="preserve"> </w:t>
      </w:r>
      <w:r>
        <w:t xml:space="preserve">— a heading and free-text body —</w:t>
      </w:r>
      <w:r>
        <w:t xml:space="preserve"> </w:t>
      </w:r>
      <w:r>
        <w:t xml:space="preserve">added from the ordinary</w:t>
      </w:r>
      <w:r>
        <w:t xml:space="preserve"> </w:t>
      </w:r>
      <w:r>
        <w:t xml:space="preserve">“Add a section”</w:t>
      </w:r>
      <w:r>
        <w:t xml:space="preserve"> </w:t>
      </w:r>
      <w:r>
        <w:t xml:space="preserve">menu and managed like any other section</w:t>
      </w:r>
      <w:r>
        <w:t xml:space="preserve"> </w:t>
      </w:r>
      <w:r>
        <w:t xml:space="preserve">(reorder, show/hide, rename); the top Summary is the personal statement. Their</w:t>
      </w:r>
      <w:r>
        <w:t xml:space="preserve"> </w:t>
      </w:r>
      <w:r>
        <w:t xml:space="preserve">user-supplied body is escaped/safe-transformed by every renderer.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CV-model catalog.</w:t>
      </w:r>
      <w:r>
        <w:t xml:space="preserve"> </w:t>
      </w:r>
      <w:r>
        <w:t xml:space="preserve">A catalog of one-click, reversible layouts that</w:t>
      </w:r>
      <w:r>
        <w:t xml:space="preserve"> </w:t>
      </w:r>
      <w:r>
        <w:t xml:space="preserve">reconfigure the canonical CV (selecting, ordering, and re-titling sections —</w:t>
      </w:r>
      <w:r>
        <w:t xml:space="preserve"> </w:t>
      </w:r>
      <w:r>
        <w:t xml:space="preserve">never deleting curated data) to the structure expected by a given call or</w:t>
      </w:r>
      <w:r>
        <w:t xml:space="preserve"> </w:t>
      </w:r>
      <w:r>
        <w:t xml:space="preserve">employer. It spans three categories: grant funders worldwide (ERC, MSCA,</w:t>
      </w:r>
      <w:r>
        <w:t xml:space="preserve"> </w:t>
      </w:r>
      <w:r>
        <w:t xml:space="preserve">Horizon, DFG, SNSF, NWO, ANR, Wellcome, UKRI R4RI, Royal Society, NIH, NSF,</w:t>
      </w:r>
      <w:r>
        <w:t xml:space="preserve"> </w:t>
      </w:r>
      <w:r>
        <w:t xml:space="preserve">JSPS/KAKENHI, AMED, NSFC, …), public-institution / job CVs (Europass, US/UK/DE</w:t>
      </w:r>
      <w:r>
        <w:t xml:space="preserve"> </w:t>
      </w:r>
      <w:r>
        <w:t xml:space="preserve">academic, the Japanese rirekisho and shokumu-keirekisho, UN P.11), and</w:t>
      </w:r>
      <w:r>
        <w:t xml:space="preserve"> </w:t>
      </w:r>
      <w:r>
        <w:t xml:space="preserve">industry / clinical CVs (ICH-GCP investigator CV for clinical trials / FDA Form</w:t>
      </w:r>
      <w:r>
        <w:t xml:space="preserve"> </w:t>
      </w:r>
      <w:r>
        <w:t xml:space="preserve">1572, biotech R&amp;D résumé, physician CV, Medical Affairs). A clear caveat notes</w:t>
      </w:r>
      <w:r>
        <w:t xml:space="preserve"> </w:t>
      </w:r>
      <w:r>
        <w:t xml:space="preserve">that final submission for many funders goes through each funder’s own portal.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Opt-in metrics.</w:t>
      </w:r>
      <w:r>
        <w:t xml:space="preserve"> </w:t>
      </w:r>
      <w:r>
        <w:t xml:space="preserve">Default none; when shown, field-normalized indicators (mean</w:t>
      </w:r>
      <w:r>
        <w:t xml:space="preserve"> </w:t>
      </w:r>
      <w:r>
        <w:t xml:space="preserve">field-weighted citation impact, top-percentile share) are preferred over the</w:t>
      </w:r>
      <w:r>
        <w:t xml:space="preserve"> </w:t>
      </w:r>
      <w:r>
        <w:t xml:space="preserve">h-index, consistent with DORA.</w:t>
      </w:r>
    </w:p>
    <w:bookmarkEnd w:id="19"/>
    <w:bookmarkStart w:id="23" w:name="Xd9e5bd2c454358744db46a663c93c937220e583"/>
    <w:p>
      <w:pPr>
        <w:pStyle w:val="Heading2"/>
      </w:pPr>
      <w:r>
        <w:t xml:space="preserve">6. FAIR and responsible-assessment alignment</w:t>
      </w:r>
    </w:p>
    <w:bookmarkStart w:id="20" w:name="fair"/>
    <w:p>
      <w:pPr>
        <w:pStyle w:val="Heading3"/>
      </w:pPr>
      <w:r>
        <w:t xml:space="preserve">6.1 FAIR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Findable.</w:t>
      </w:r>
      <w:r>
        <w:t xml:space="preserve"> </w:t>
      </w:r>
      <w:r>
        <w:t xml:space="preserve">Records resolve by persistent identifier (ORCID/OpenAlex); public</w:t>
      </w:r>
      <w:r>
        <w:t xml:space="preserve"> </w:t>
      </w:r>
      <w:r>
        <w:t xml:space="preserve">pages carry schema.org JSON-LD and appear in a sitemap with</w:t>
      </w:r>
      <w:r>
        <w:t xml:space="preserve"> </w:t>
      </w:r>
      <w:r>
        <w:rPr>
          <w:rStyle w:val="VerbatimChar"/>
        </w:rPr>
        <w:t xml:space="preserve">hreflang</w:t>
      </w:r>
      <w:r>
        <w:t xml:space="preserve"> </w:t>
      </w:r>
      <w:r>
        <w:t xml:space="preserve">alternates (opt-in); the software itself is citable (CITATION.cff, codemeta.json,</w:t>
      </w:r>
      <w:r>
        <w:t xml:space="preserve"> </w:t>
      </w:r>
      <w:r>
        <w:t xml:space="preserve">a Zenodo release DOI ‹DOI›).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Accessible.</w:t>
      </w:r>
      <w:r>
        <w:t xml:space="preserve"> </w:t>
      </w:r>
      <w:r>
        <w:t xml:space="preserve">Public CVs are served over open HTTP and content-negotiate</w:t>
      </w:r>
      <w:r>
        <w:t xml:space="preserve"> </w:t>
      </w:r>
      <w:r>
        <w:t xml:space="preserve">machine-readable representations; users can export their full account and delete</w:t>
      </w:r>
      <w:r>
        <w:t xml:space="preserve"> </w:t>
      </w:r>
      <w:r>
        <w:t xml:space="preserve">it; the stack is self-hostable.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Interoperable.</w:t>
      </w:r>
      <w:r>
        <w:t xml:space="preserve"> </w:t>
      </w:r>
      <w:r>
        <w:t xml:space="preserve">Every output derives from one object; citations use CSL;</w:t>
      </w:r>
      <w:r>
        <w:t xml:space="preserve"> </w:t>
      </w:r>
      <w:r>
        <w:t xml:space="preserve">identifiers (ORCID, OpenAlex, DOI, ROR) and exchange formats (CSL-JSON, JSON</w:t>
      </w:r>
      <w:r>
        <w:t xml:space="preserve"> </w:t>
      </w:r>
      <w:r>
        <w:t xml:space="preserve">Résumé, BibTeX) are standard.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Reusable.</w:t>
      </w:r>
      <w:r>
        <w:t xml:space="preserve"> </w:t>
      </w:r>
      <w:r>
        <w:t xml:space="preserve">Each record carries provenance and a match basis; published CVs can</w:t>
      </w:r>
      <w:r>
        <w:t xml:space="preserve"> </w:t>
      </w:r>
      <w:r>
        <w:t xml:space="preserve">declare a reuse license (e.g., CC0 / CC BY); the code is Apache-2.0 with versioned</w:t>
      </w:r>
      <w:r>
        <w:t xml:space="preserve"> </w:t>
      </w:r>
      <w:r>
        <w:t xml:space="preserve">releases (FAIR4RS).</w:t>
      </w:r>
    </w:p>
    <w:bookmarkEnd w:id="20"/>
    <w:bookmarkStart w:id="21" w:name="responsible-assessment"/>
    <w:p>
      <w:pPr>
        <w:pStyle w:val="Heading3"/>
      </w:pPr>
      <w:r>
        <w:t xml:space="preserve">6.2 Responsible assessment</w:t>
      </w:r>
    </w:p>
    <w:p>
      <w:pPr>
        <w:pStyle w:val="FirstParagraph"/>
      </w:pPr>
      <w:r>
        <w:t xml:space="preserve">Metrics default to none and prefer field-normalized indicators over journal-level</w:t>
      </w:r>
      <w:r>
        <w:t xml:space="preserve"> </w:t>
      </w:r>
      <w:r>
        <w:t xml:space="preserve">proxies; self-attribution is identifier-driven; narrative prose sections and the CV-model</w:t>
      </w:r>
      <w:r>
        <w:t xml:space="preserve"> </w:t>
      </w:r>
      <w:r>
        <w:t xml:space="preserve">catalog make contribution-focused, funder-aligned CVs first-class. These choices</w:t>
      </w:r>
      <w:r>
        <w:t xml:space="preserve"> </w:t>
      </w:r>
      <w:r>
        <w:t xml:space="preserve">operationalize DORA/CoARA at the level of the tool’s defaults.</w:t>
      </w:r>
    </w:p>
    <w:bookmarkEnd w:id="21"/>
    <w:bookmarkStart w:id="22" w:name="giving-back-to-the-commons-planned"/>
    <w:p>
      <w:pPr>
        <w:pStyle w:val="Heading3"/>
      </w:pPr>
      <w:r>
        <w:t xml:space="preserve">6.3 Giving back to the commons (planned)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“not mine”</w:t>
      </w:r>
      <w:r>
        <w:t xml:space="preserve"> </w:t>
      </w:r>
      <w:r>
        <w:t xml:space="preserve">corrections are preserved with their match basis and reason,</w:t>
      </w:r>
      <w:r>
        <w:t xml:space="preserve"> </w:t>
      </w:r>
      <w:r>
        <w:t xml:space="preserve">they constitute high-quality author-disambiguation signal. A planned, opt-in,</w:t>
      </w:r>
      <w:r>
        <w:t xml:space="preserve"> </w:t>
      </w:r>
      <w:r>
        <w:t xml:space="preserve">audited mechanism will push these corrections upstream to OpenAlex’s curation</w:t>
      </w:r>
      <w:r>
        <w:t xml:space="preserve"> </w:t>
      </w:r>
      <w:r>
        <w:t xml:space="preserve">interface, so routine CV curation</w:t>
      </w:r>
      <w:r>
        <w:t xml:space="preserve"> </w:t>
      </w:r>
      <w:r>
        <w:rPr>
          <w:i/>
          <w:iCs/>
        </w:rPr>
        <w:t xml:space="preserve">improves the shared scholarly graph</w:t>
      </w:r>
      <w:r>
        <w:t xml:space="preserve"> </w:t>
      </w:r>
      <w:r>
        <w:t xml:space="preserve">rather than</w:t>
      </w:r>
      <w:r>
        <w:t xml:space="preserve"> </w:t>
      </w:r>
      <w:r>
        <w:t xml:space="preserve">only consuming it. This capability is gated off by default pending confirmation of</w:t>
      </w:r>
      <w:r>
        <w:t xml:space="preserve"> </w:t>
      </w:r>
      <w:r>
        <w:t xml:space="preserve">the upstream API and ethics review.</w:t>
      </w:r>
    </w:p>
    <w:bookmarkEnd w:id="22"/>
    <w:bookmarkEnd w:id="23"/>
    <w:bookmarkStart w:id="24" w:name="Xbea049628596f104d8ab9d2ed512900dd74dfdb"/>
    <w:p>
      <w:pPr>
        <w:pStyle w:val="Heading2"/>
      </w:pPr>
      <w:r>
        <w:t xml:space="preserve">7. Privacy, consent, and the research-vehicle design</w:t>
      </w:r>
    </w:p>
    <w:p>
      <w:pPr>
        <w:pStyle w:val="FirstParagraph"/>
      </w:pPr>
      <w:r>
        <w:t xml:space="preserve">SigmaCV is, by intent, infrastructure for three studies: (1) this</w:t>
      </w:r>
      <w:r>
        <w:t xml:space="preserve"> </w:t>
      </w:r>
      <w:r>
        <w:t xml:space="preserve">tool/infrastructure paper; (2) an author-disambiguation-error study built from</w:t>
      </w:r>
      <w:r>
        <w:t xml:space="preserve"> </w:t>
      </w:r>
      <w:r>
        <w:t xml:space="preserve">users’ mine/not-mine corrections (stratified by the identifier match basis and a</w:t>
      </w:r>
      <w:r>
        <w:t xml:space="preserve"> </w:t>
      </w:r>
      <w:r>
        <w:t xml:space="preserve">build-computed review flag); and (3) a self-presentation / metric-norms study</w:t>
      </w:r>
      <w:r>
        <w:t xml:space="preserve"> </w:t>
      </w:r>
      <w:r>
        <w:t xml:space="preserve">built from CV-composition choices.</w:t>
      </w:r>
    </w:p>
    <w:p>
      <w:pPr>
        <w:pStyle w:val="BodyText"/>
      </w:pPr>
      <w:r>
        <w:t xml:space="preserve">Personal data is handled under the EU GDPR and Japan’s APPI:</w:t>
      </w:r>
      <w:r>
        <w:t xml:space="preserve"> </w:t>
      </w:r>
      <w:r>
        <w:rPr>
          <w:b/>
          <w:bCs/>
        </w:rPr>
        <w:t xml:space="preserve">data minimization,</w:t>
      </w:r>
      <w:r>
        <w:rPr>
          <w:b/>
          <w:bCs/>
        </w:rPr>
        <w:t xml:space="preserve"> </w:t>
      </w:r>
      <w:r>
        <w:rPr>
          <w:b/>
          <w:bCs/>
        </w:rPr>
        <w:t xml:space="preserve">per-field publish consent, full data export, and account deletion</w:t>
      </w:r>
      <w:r>
        <w:t xml:space="preserve">. All research</w:t>
      </w:r>
      <w:r>
        <w:t xml:space="preserve"> </w:t>
      </w:r>
      <w:r>
        <w:t xml:space="preserve">logging is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 </w:t>
      </w:r>
      <w:r>
        <w:t xml:space="preserve">behind a single master switch and is shown only to</w:t>
      </w:r>
      <w:r>
        <w:t xml:space="preserve"> </w:t>
      </w:r>
      <w:r>
        <w:t xml:space="preserve">users who give explicit, versioned research consent; withdrawal erases previously</w:t>
      </w:r>
      <w:r>
        <w:t xml:space="preserve"> </w:t>
      </w:r>
      <w:r>
        <w:t xml:space="preserve">collected events. The de-identified research export pseudonymizes subjects with a</w:t>
      </w:r>
      <w:r>
        <w:t xml:space="preserve"> </w:t>
      </w:r>
      <w:r>
        <w:t xml:space="preserve">keyed HMAC, emits only pre-registered event types, and produces the</w:t>
      </w:r>
      <w:r>
        <w:t xml:space="preserve"> </w:t>
      </w:r>
      <w:r>
        <w:t xml:space="preserve">re-identification key table separately, held by a designated personal-information</w:t>
      </w:r>
      <w:r>
        <w:t xml:space="preserve"> </w:t>
      </w:r>
      <w:r>
        <w:t xml:space="preserve">manager and never given to the analyst. Confirmatory analyses are pre-registered.</w:t>
      </w:r>
      <w:r>
        <w:t xml:space="preserve"> </w:t>
      </w:r>
      <w:r>
        <w:t xml:space="preserve">No confirmatory analysis runs before its plan is registered and the relevant IRB</w:t>
      </w:r>
      <w:r>
        <w:t xml:space="preserve"> </w:t>
      </w:r>
      <w:r>
        <w:t xml:space="preserve">approval is recorded.</w:t>
      </w:r>
    </w:p>
    <w:bookmarkEnd w:id="24"/>
    <w:bookmarkStart w:id="25" w:name="quality-assurance-and-verification"/>
    <w:p>
      <w:pPr>
        <w:pStyle w:val="Heading2"/>
      </w:pPr>
      <w:r>
        <w:t xml:space="preserve">8. Quality assurance and verification</w:t>
      </w:r>
    </w:p>
    <w:p>
      <w:pPr>
        <w:pStyle w:val="FirstParagraph"/>
      </w:pPr>
      <w:r>
        <w:t xml:space="preserve">SigmaCV is developed with a comprehensive automated test suite (more than 1,300</w:t>
      </w:r>
      <w:r>
        <w:t xml:space="preserve"> </w:t>
      </w:r>
      <w:r>
        <w:t xml:space="preserve">unit and integration tests with an enforced coverage gate on the domain layer —</w:t>
      </w:r>
      <w:r>
        <w:t xml:space="preserve"> </w:t>
      </w:r>
      <w:r>
        <w:t xml:space="preserve">statements ≥ 98%, branches ≥ 87%, functions ≥ 99%, lines ≥ 99% — plus</w:t>
      </w:r>
      <w:r>
        <w:t xml:space="preserve"> </w:t>
      </w:r>
      <w:r>
        <w:t xml:space="preserve">end-to-end browser journeys covering authentication, curation, export, publishing,</w:t>
      </w:r>
      <w:r>
        <w:t xml:space="preserve"> </w:t>
      </w:r>
      <w:r>
        <w:t xml:space="preserve">CV-model application, and the machine-readable public formats). The codebase</w:t>
      </w:r>
      <w:r>
        <w:t xml:space="preserve"> </w:t>
      </w:r>
      <w:r>
        <w:t xml:space="preserve">underwent multiple security reviews focused on consent-gating, output escaping</w:t>
      </w:r>
      <w:r>
        <w:t xml:space="preserve"> </w:t>
      </w:r>
      <w:r>
        <w:t xml:space="preserve">(JSON-LD/HTML/BibTeX), the machine-readable public API, and the (default-off)</w:t>
      </w:r>
      <w:r>
        <w:t xml:space="preserve"> </w:t>
      </w:r>
      <w:r>
        <w:t xml:space="preserve">upstream-curation client; the production container is non-root with dropped</w:t>
      </w:r>
      <w:r>
        <w:t xml:space="preserve"> </w:t>
      </w:r>
      <w:r>
        <w:t xml:space="preserve">capabilities and an unpublished database. The Docker deployment has been verified</w:t>
      </w:r>
      <w:r>
        <w:t xml:space="preserve"> </w:t>
      </w:r>
      <w:r>
        <w:t xml:space="preserve">end-to-end (image build → database migration → DB-backed routes serving). ‹A user</w:t>
      </w:r>
      <w:r>
        <w:t xml:space="preserve"> </w:t>
      </w:r>
      <w:r>
        <w:t xml:space="preserve">study / adoption analysis is future work — add figures once available.›</w:t>
      </w:r>
    </w:p>
    <w:bookmarkEnd w:id="25"/>
    <w:bookmarkStart w:id="26" w:name="limitations-and-future-work"/>
    <w:p>
      <w:pPr>
        <w:pStyle w:val="Heading2"/>
      </w:pPr>
      <w:r>
        <w:t xml:space="preserve">9. Limitations and future work</w:t>
      </w:r>
    </w:p>
    <w:p>
      <w:pPr>
        <w:pStyle w:val="Compact"/>
        <w:numPr>
          <w:ilvl w:val="0"/>
          <w:numId w:val="1005"/>
        </w:numPr>
      </w:pPr>
      <w:r>
        <w:t xml:space="preserve">Accurate assembly depends on the completeness of open sources (OpenAlex/ORCID);</w:t>
      </w:r>
      <w:r>
        <w:t xml:space="preserve"> </w:t>
      </w:r>
      <w:r>
        <w:t xml:space="preserve">works missing or misattributed upstream require manual correction (which the tool</w:t>
      </w:r>
      <w:r>
        <w:t xml:space="preserve"> </w:t>
      </w:r>
      <w:r>
        <w:t xml:space="preserve">captures and will push back).</w:t>
      </w:r>
    </w:p>
    <w:p>
      <w:pPr>
        <w:pStyle w:val="Compact"/>
        <w:numPr>
          <w:ilvl w:val="0"/>
          <w:numId w:val="1005"/>
        </w:numPr>
      </w:pPr>
      <w:r>
        <w:t xml:space="preserve">Funder-structured exports are faithful</w:t>
      </w:r>
      <w:r>
        <w:t xml:space="preserve"> </w:t>
      </w:r>
      <w:r>
        <w:rPr>
          <w:i/>
          <w:iCs/>
        </w:rPr>
        <w:t xml:space="preserve">drafts</w:t>
      </w:r>
      <w:r>
        <w:t xml:space="preserve">; final submission uses each</w:t>
      </w:r>
      <w:r>
        <w:t xml:space="preserve"> </w:t>
      </w:r>
      <w:r>
        <w:t xml:space="preserve">funder’s own system (e.g., SciENcv for NIH/NSF; the EU Funding &amp; Tenders portal;</w:t>
      </w:r>
      <w:r>
        <w:t xml:space="preserve"> </w:t>
      </w:r>
      <w:r>
        <w:t xml:space="preserve">e-Rad/researchmap for KAKENHI). Pixel-exact replicas of official templates are</w:t>
      </w:r>
      <w:r>
        <w:t xml:space="preserve"> </w:t>
      </w:r>
      <w:r>
        <w:t xml:space="preserve">intentionally out of scope.</w:t>
      </w:r>
    </w:p>
    <w:p>
      <w:pPr>
        <w:pStyle w:val="Compact"/>
        <w:numPr>
          <w:ilvl w:val="0"/>
          <w:numId w:val="1005"/>
        </w:numPr>
      </w:pPr>
      <w:r>
        <w:t xml:space="preserve">Non-English narrative and interface copy benefit from native-speaker review.</w:t>
      </w:r>
    </w:p>
    <w:p>
      <w:pPr>
        <w:pStyle w:val="Compact"/>
        <w:numPr>
          <w:ilvl w:val="0"/>
          <w:numId w:val="1005"/>
        </w:numPr>
      </w:pPr>
      <w:r>
        <w:t xml:space="preserve">Planned: upstream curation push; richer identifier coverage (Funder Registry,</w:t>
      </w:r>
      <w:r>
        <w:t xml:space="preserve"> </w:t>
      </w:r>
      <w:r>
        <w:t xml:space="preserve">CRediT); additional templates; an adoption/usage evaluation.</w:t>
      </w:r>
    </w:p>
    <w:bookmarkEnd w:id="26"/>
    <w:bookmarkStart w:id="27" w:name="availability-and-reproducibility"/>
    <w:p>
      <w:pPr>
        <w:pStyle w:val="Heading2"/>
      </w:pPr>
      <w:r>
        <w:t xml:space="preserve">10. Availability and reproducibility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https://github.com/BasileChretien/sigmacv — Apache-2.0.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Archive / DOI:</w:t>
      </w:r>
      <w:r>
        <w:t xml:space="preserve"> </w:t>
      </w:r>
      <w:r>
        <w:t xml:space="preserve">Zenodo ‹DOI on first tagged release›.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Cite: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CITATION.cff</w:t>
      </w:r>
      <w:r>
        <w:t xml:space="preserve">; machine-readable metadata in</w:t>
      </w:r>
      <w:r>
        <w:t xml:space="preserve"> </w:t>
      </w:r>
      <w:r>
        <w:rPr>
          <w:rStyle w:val="VerbatimChar"/>
        </w:rPr>
        <w:t xml:space="preserve">codemeta.json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Run it:</w:t>
      </w:r>
      <w:r>
        <w:t xml:space="preserve"> </w:t>
      </w:r>
      <w:r>
        <w:t xml:space="preserve">self-hostable via Docker Compose on a single VPS (see</w:t>
      </w:r>
      <w:r>
        <w:t xml:space="preserve"> </w:t>
      </w:r>
      <w:r>
        <w:rPr>
          <w:rStyle w:val="VerbatimChar"/>
        </w:rPr>
        <w:t xml:space="preserve">DEPLOY.md</w:t>
      </w:r>
      <w:r>
        <w:t xml:space="preserve">);</w:t>
      </w:r>
      <w:r>
        <w:t xml:space="preserve"> </w:t>
      </w:r>
      <w:r>
        <w:t xml:space="preserve">no dependency on a hosted instance.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sources:</w:t>
      </w:r>
      <w:r>
        <w:t xml:space="preserve"> </w:t>
      </w:r>
      <w:r>
        <w:t xml:space="preserve">OpenAlex, ORCID (public API), Crossref, ROR, DataCite, Open</w:t>
      </w:r>
      <w:r>
        <w:t xml:space="preserve"> </w:t>
      </w:r>
      <w:r>
        <w:t xml:space="preserve">Editors Plus — all open and accessed via polite-pool contacts.</w:t>
      </w:r>
    </w:p>
    <w:bookmarkEnd w:id="27"/>
    <w:bookmarkStart w:id="33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SigmaCV shows that an everyday researcher tool — a CV generator — can be built as</w:t>
      </w:r>
      <w:r>
        <w:t xml:space="preserve"> </w:t>
      </w:r>
      <w:r>
        <w:t xml:space="preserve">open, FAIR infrastructure that advances responsible research assessment rather than</w:t>
      </w:r>
      <w:r>
        <w:t xml:space="preserve"> </w:t>
      </w:r>
      <w:r>
        <w:t xml:space="preserve">working against it. By deriving every output from a single canonical object,</w:t>
      </w:r>
      <w:r>
        <w:t xml:space="preserve"> </w:t>
      </w:r>
      <w:r>
        <w:t xml:space="preserve">attributing authorship by identifier rather than name, defaulting metrics off and</w:t>
      </w:r>
      <w:r>
        <w:t xml:space="preserve"> </w:t>
      </w:r>
      <w:r>
        <w:t xml:space="preserve">field-normalized, making published CVs machine-readable and licensable, and turning</w:t>
      </w:r>
      <w:r>
        <w:t xml:space="preserve"> </w:t>
      </w:r>
      <w:r>
        <w:t xml:space="preserve">routine curation into consented research signal (and, soon, into corrections that</w:t>
      </w:r>
      <w:r>
        <w:t xml:space="preserve"> </w:t>
      </w:r>
      <w:r>
        <w:t xml:space="preserve">improve the shared scholarly graph), SigmaCV aligns a useful tool with the goals of</w:t>
      </w:r>
      <w:r>
        <w:t xml:space="preserve"> </w:t>
      </w:r>
      <w:r>
        <w:t xml:space="preserve">the open-science and assessment-reform communities.</w:t>
      </w:r>
    </w:p>
    <w:p>
      <w:r>
        <w:pict>
          <v:rect style="width:0;height:1.5pt" o:hralign="center" o:hrstd="t" o:hr="t"/>
        </w:pict>
      </w:r>
    </w:p>
    <w:bookmarkStart w:id="28" w:name="acknowledgements"/>
    <w:p>
      <w:pPr>
        <w:pStyle w:val="Heading3"/>
      </w:pPr>
      <w:r>
        <w:t xml:space="preserve">Acknowledgements</w:t>
      </w:r>
    </w:p>
    <w:p>
      <w:pPr>
        <w:pStyle w:val="FirstParagraph"/>
      </w:pPr>
      <w:r>
        <w:t xml:space="preserve">‹advisors, institutions, funders›</w:t>
      </w:r>
    </w:p>
    <w:bookmarkEnd w:id="28"/>
    <w:bookmarkStart w:id="29" w:name="author-contributions-credit"/>
    <w:p>
      <w:pPr>
        <w:pStyle w:val="Heading3"/>
      </w:pPr>
      <w:r>
        <w:t xml:space="preserve">Author contributions (CRediT)</w:t>
      </w:r>
    </w:p>
    <w:p>
      <w:pPr>
        <w:pStyle w:val="FirstParagraph"/>
      </w:pPr>
      <w:r>
        <w:t xml:space="preserve">B.C.: conceptualization, software, methodology, writing — original draft. ‹others›</w:t>
      </w:r>
    </w:p>
    <w:bookmarkEnd w:id="29"/>
    <w:bookmarkStart w:id="30" w:name="competing-interests"/>
    <w:p>
      <w:pPr>
        <w:pStyle w:val="Heading3"/>
      </w:pPr>
      <w:r>
        <w:t xml:space="preserve">Competing interests</w:t>
      </w:r>
    </w:p>
    <w:p>
      <w:pPr>
        <w:pStyle w:val="FirstParagraph"/>
      </w:pPr>
      <w:r>
        <w:t xml:space="preserve">‹none / declare›</w:t>
      </w:r>
    </w:p>
    <w:bookmarkEnd w:id="30"/>
    <w:bookmarkStart w:id="31" w:name="data-availability"/>
    <w:p>
      <w:pPr>
        <w:pStyle w:val="Heading3"/>
      </w:pPr>
      <w:r>
        <w:t xml:space="preserve">Data availability</w:t>
      </w:r>
    </w:p>
    <w:p>
      <w:pPr>
        <w:pStyle w:val="FirstParagraph"/>
      </w:pPr>
      <w:r>
        <w:t xml:space="preserve">This paper describes software; no human-subject data is reported. Source code and</w:t>
      </w:r>
      <w:r>
        <w:t xml:space="preserve"> </w:t>
      </w:r>
      <w:r>
        <w:t xml:space="preserve">metadata are available as in Section 10. The consent-gated research datasets</w:t>
      </w:r>
      <w:r>
        <w:t xml:space="preserve"> </w:t>
      </w:r>
      <w:r>
        <w:t xml:space="preserve">(studies 2–3) are governed separately under their IRB protocol and pre-registration.</w:t>
      </w:r>
    </w:p>
    <w:bookmarkEnd w:id="31"/>
    <w:bookmarkStart w:id="32" w:name="X0f407818cc7f406995557f25fd62bf457fb3684"/>
    <w:p>
      <w:pPr>
        <w:pStyle w:val="Heading3"/>
      </w:pPr>
      <w:r>
        <w:t xml:space="preserve">References (to be formatted to the target venue)</w:t>
      </w:r>
    </w:p>
    <w:p>
      <w:pPr>
        <w:pStyle w:val="Compact"/>
        <w:numPr>
          <w:ilvl w:val="0"/>
          <w:numId w:val="1007"/>
        </w:numPr>
      </w:pPr>
      <w:r>
        <w:t xml:space="preserve">Declaration on Research Assessment (DORA). https://sfdora.org/</w:t>
      </w:r>
    </w:p>
    <w:p>
      <w:pPr>
        <w:pStyle w:val="Compact"/>
        <w:numPr>
          <w:ilvl w:val="0"/>
          <w:numId w:val="1007"/>
        </w:numPr>
      </w:pPr>
      <w:r>
        <w:t xml:space="preserve">Coalition for Advancing Research Assessment (CoARA). https://coara.eu/</w:t>
      </w:r>
    </w:p>
    <w:p>
      <w:pPr>
        <w:pStyle w:val="Compact"/>
        <w:numPr>
          <w:ilvl w:val="0"/>
          <w:numId w:val="1007"/>
        </w:numPr>
      </w:pPr>
      <w:r>
        <w:t xml:space="preserve">Hicks D., Wouters P., Waltman L., de Rijcke S., Rafols I. The Leiden Manifesto for research metrics.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520, 429–431 (2015).</w:t>
      </w:r>
    </w:p>
    <w:p>
      <w:pPr>
        <w:pStyle w:val="Compact"/>
        <w:numPr>
          <w:ilvl w:val="0"/>
          <w:numId w:val="1007"/>
        </w:numPr>
      </w:pPr>
      <w:r>
        <w:t xml:space="preserve">Priem J., Piwowar H., Orr R. OpenAlex: a fully-open index of scholarly works, authors, venues, institutions, and concepts. arXiv:2205.01833 (2022).</w:t>
      </w:r>
    </w:p>
    <w:p>
      <w:pPr>
        <w:pStyle w:val="Compact"/>
        <w:numPr>
          <w:ilvl w:val="0"/>
          <w:numId w:val="1007"/>
        </w:numPr>
      </w:pPr>
      <w:r>
        <w:t xml:space="preserve">ORCID. https://orcid.org/</w:t>
      </w:r>
    </w:p>
    <w:p>
      <w:pPr>
        <w:pStyle w:val="Compact"/>
        <w:numPr>
          <w:ilvl w:val="0"/>
          <w:numId w:val="1007"/>
        </w:numPr>
      </w:pPr>
      <w:r>
        <w:t xml:space="preserve">Research Organization Registry (ROR). https://ror.org/</w:t>
      </w:r>
    </w:p>
    <w:p>
      <w:pPr>
        <w:pStyle w:val="Compact"/>
        <w:numPr>
          <w:ilvl w:val="0"/>
          <w:numId w:val="1007"/>
        </w:numPr>
      </w:pPr>
      <w:r>
        <w:t xml:space="preserve">Crossref. https://www.crossref.org/ ; DataCite. https://datacite.org/</w:t>
      </w:r>
    </w:p>
    <w:p>
      <w:pPr>
        <w:pStyle w:val="Compact"/>
        <w:numPr>
          <w:ilvl w:val="0"/>
          <w:numId w:val="1007"/>
        </w:numPr>
      </w:pPr>
      <w:r>
        <w:t xml:space="preserve">Citation Style Language (CSL). https://citationstyles.org/</w:t>
      </w:r>
    </w:p>
    <w:p>
      <w:pPr>
        <w:pStyle w:val="Compact"/>
        <w:numPr>
          <w:ilvl w:val="0"/>
          <w:numId w:val="1007"/>
        </w:numPr>
      </w:pPr>
      <w:r>
        <w:t xml:space="preserve">Wilkinson M. et al. The FAIR Guiding Principles for scientific data management and stewardship.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3, 160018 (2016).</w:t>
      </w:r>
    </w:p>
    <w:p>
      <w:pPr>
        <w:pStyle w:val="Compact"/>
        <w:numPr>
          <w:ilvl w:val="0"/>
          <w:numId w:val="1007"/>
        </w:numPr>
      </w:pPr>
      <w:r>
        <w:t xml:space="preserve">Barker M. et al. Introducing the FAIR Principles for research software (FAIR4RS).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 </w:t>
      </w:r>
      <w:r>
        <w:t xml:space="preserve">9, 622 (2022).</w:t>
      </w:r>
    </w:p>
    <w:p>
      <w:pPr>
        <w:pStyle w:val="Compact"/>
        <w:numPr>
          <w:ilvl w:val="0"/>
          <w:numId w:val="1007"/>
        </w:numPr>
      </w:pPr>
      <w:r>
        <w:t xml:space="preserve">UK Research and Innovation. Résumé for Research and Innovation (R4RI).</w:t>
      </w:r>
    </w:p>
    <w:p>
      <w:pPr>
        <w:pStyle w:val="Compact"/>
        <w:numPr>
          <w:ilvl w:val="0"/>
          <w:numId w:val="1007"/>
        </w:numPr>
      </w:pPr>
      <w:r>
        <w:t xml:space="preserve">Royal Society. Résumé for Researchers.</w:t>
      </w:r>
    </w:p>
    <w:p>
      <w:pPr>
        <w:pStyle w:val="Compact"/>
        <w:numPr>
          <w:ilvl w:val="0"/>
          <w:numId w:val="1007"/>
        </w:numPr>
      </w:pPr>
      <w:r>
        <w:t xml:space="preserve">‹add: relevant author-disambiguation, self-presentation, and CV-tool references›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2026-06-11T13:52:51Z</dcterms:created>
  <dcterms:modified xsi:type="dcterms:W3CDTF">2026-06-11T13:52:51Z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