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Codage de l’information - prolongement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3gmz41kk2c7" w:id="0"/>
      <w:bookmarkEnd w:id="0"/>
      <w:r w:rsidDel="00000000" w:rsidR="00000000" w:rsidRPr="00000000">
        <w:rPr>
          <w:rtl w:val="0"/>
        </w:rPr>
        <w:t xml:space="preserve">I Le tour de magie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L’objectif de cet exercice est de reconstruire les grilles de nombres qui ont été utilisées pour le tour de magie.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Chaque nombre apparaît dans une grille si et seulement si il faut utiliser le billet correspondant pour payer cette somme.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Par exemple: 29=16+8+4+1 doit apparaître dans les grilles des billets de 16, 8, 4 et 1 mais pas dans la grille du billet de 2. 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Les grilles ci-dessous sont incomplètes. Complète les grilles avec les nombres suivants : 15, 16, 17, 18 et 19.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1.</w:t>
            </w:r>
          </w:p>
          <w:tbl>
            <w:tblPr>
              <w:tblStyle w:val="Table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2.</w:t>
            </w:r>
          </w:p>
          <w:tbl>
            <w:tblPr>
              <w:tblStyle w:val="Table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4.</w:t>
            </w:r>
          </w:p>
          <w:tbl>
            <w:tblPr>
              <w:tblStyle w:val="Table4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8.</w:t>
            </w:r>
          </w:p>
          <w:tbl>
            <w:tblPr>
              <w:tblStyle w:val="Table5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16.</w:t>
            </w:r>
          </w:p>
          <w:tbl>
            <w:tblPr>
              <w:tblStyle w:val="Table6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left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6ggpw92kv2z8" w:id="1"/>
      <w:bookmarkEnd w:id="1"/>
      <w:r w:rsidDel="00000000" w:rsidR="00000000" w:rsidRPr="00000000">
        <w:rPr>
          <w:rtl w:val="0"/>
        </w:rPr>
        <w:t xml:space="preserve">II Synthèse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Complète les phrases suivantes avec les mots de la liste: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binaire - vectoriels - compressée - bits - ambigu - nombres - pertes - 2</w:t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 - pixels - bitmaps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1/ Les ordinateurs permettent de traiter de l’information. Dans un ordinateur l’information est représentée par une suite de chiffres binaires appelés ……..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2/ Le système ……… permet de représenter des ……. avec seulement deux chiffres.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3/ Avec </w:t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bits on peut représenter … valeurs différentes.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4/ Pour représenter une image en informatique, on peut la décrire à l’aide d’objets géométriques (comme dans le jeu du blason) ou comme une juxtaposition de points de couleurs appelés ……  (comme le jeu de la télévision).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On parle de langage de description de document ou format.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5/ Par exemple, les formats PDF et SVG reposent sur une description géométrique des objets, on dit que ce sont des formats …… . Les formats PNG et JPG représentent l’image par un tableau de pixels, on dit que ce sont des formats …… . 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6/ Pour que l’image prenne moins de place, elle est parfois ……  avec ou sans ……. . 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7/ Dans tous les cas, ces langages sont conçus pour fournir une description non ……  des images.  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ki9f61y1iu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qbs5ufjzhowz" w:id="3"/>
      <w:bookmarkEnd w:id="3"/>
      <w:r w:rsidDel="00000000" w:rsidR="00000000" w:rsidRPr="00000000">
        <w:rPr>
          <w:rtl w:val="0"/>
        </w:rPr>
        <w:t xml:space="preserve">Correction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1.</w:t>
            </w:r>
          </w:p>
          <w:tbl>
            <w:tblPr>
              <w:tblStyle w:val="Table8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2.</w:t>
            </w:r>
          </w:p>
          <w:tbl>
            <w:tblPr>
              <w:tblStyle w:val="Table9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4.</w:t>
            </w:r>
          </w:p>
          <w:tbl>
            <w:tblPr>
              <w:tblStyle w:val="Table10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8.</w:t>
            </w:r>
          </w:p>
          <w:tbl>
            <w:tblPr>
              <w:tblStyle w:val="Table11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Grille du billet de 16.</w:t>
            </w:r>
          </w:p>
          <w:tbl>
            <w:tblPr>
              <w:tblStyle w:val="Table1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25"/>
              <w:gridCol w:w="702.25"/>
              <w:gridCol w:w="702.25"/>
              <w:gridCol w:w="702.25"/>
              <w:tblGridChange w:id="0">
                <w:tblGrid>
                  <w:gridCol w:w="702.25"/>
                  <w:gridCol w:w="702.25"/>
                  <w:gridCol w:w="702.25"/>
                  <w:gridCol w:w="702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6"/>
                      <w:szCs w:val="26"/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6"/>
                      <w:szCs w:val="26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>
        <w:rFonts w:ascii="Cambria" w:cs="Cambria" w:eastAsia="Cambria" w:hAnsi="Cambria"/>
        <w:i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i w:val="1"/>
        <w:sz w:val="26"/>
        <w:szCs w:val="26"/>
        <w:rtl w:val="0"/>
      </w:rPr>
      <w:t xml:space="preserve">Les Décodeuses d’Informatique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3971925</wp:posOffset>
          </wp:positionH>
          <wp:positionV relativeFrom="paragraph">
            <wp:posOffset>-214312</wp:posOffset>
          </wp:positionV>
          <wp:extent cx="525780" cy="47117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21030" r="20601" t="0"/>
                  <a:stretch>
                    <a:fillRect/>
                  </a:stretch>
                </pic:blipFill>
                <pic:spPr>
                  <a:xfrm>
                    <a:off x="0" y="0"/>
                    <a:ext cx="525780" cy="471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-161924</wp:posOffset>
          </wp:positionV>
          <wp:extent cx="952500" cy="36385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3638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