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B8" w:rsidRDefault="00F063B8" w:rsidP="000212C6">
      <w:pPr>
        <w:pStyle w:val="Titre"/>
        <w:jc w:val="center"/>
      </w:pPr>
    </w:p>
    <w:p w:rsidR="00887047" w:rsidRDefault="001614E1" w:rsidP="000212C6">
      <w:pPr>
        <w:pStyle w:val="Titre"/>
        <w:jc w:val="center"/>
      </w:pPr>
      <w:r w:rsidRPr="000212C6">
        <w:t>Simulation et Optimisation</w:t>
      </w:r>
      <w:r w:rsidR="000212C6">
        <w:t xml:space="preserve"> – TP1</w:t>
      </w:r>
    </w:p>
    <w:p w:rsidR="000212C6" w:rsidRDefault="000212C6" w:rsidP="000212C6"/>
    <w:p w:rsidR="00F063B8" w:rsidRPr="000212C6" w:rsidRDefault="00F063B8" w:rsidP="000212C6"/>
    <w:p w:rsidR="0099217E" w:rsidRDefault="00F54ED0" w:rsidP="004914DF">
      <w:pPr>
        <w:pStyle w:val="Titre1"/>
      </w:pPr>
      <w:r>
        <w:t>Introduction</w:t>
      </w:r>
    </w:p>
    <w:p w:rsidR="004914DF" w:rsidRPr="004914DF" w:rsidRDefault="004914DF" w:rsidP="004914DF"/>
    <w:p w:rsidR="008D1BB4" w:rsidRDefault="00F54ED0" w:rsidP="002623F8">
      <w:r>
        <w:t xml:space="preserve">Dans ce laboratoire, il nous est demandé d’implémenter plusieurs </w:t>
      </w:r>
      <w:r w:rsidR="009B760C">
        <w:t>algorithmes</w:t>
      </w:r>
      <w:r>
        <w:t xml:space="preserve"> afin de générer des réalisations de variables aléatoires en utilisant </w:t>
      </w:r>
      <w:r w:rsidR="00A7366F">
        <w:t>différents jeux de données.</w:t>
      </w:r>
    </w:p>
    <w:p w:rsidR="00A55DE3" w:rsidRDefault="00A55DE3" w:rsidP="002623F8">
      <w:r>
        <w:t>Les trois algorithmes</w:t>
      </w:r>
      <w:r w:rsidR="007E5065">
        <w:t xml:space="preserve"> (ou méthodes)</w:t>
      </w:r>
      <w:r>
        <w:t xml:space="preserve"> qui nous intéressent sont les suivants :</w:t>
      </w:r>
    </w:p>
    <w:p w:rsidR="00A55DE3" w:rsidRDefault="00A55DE3" w:rsidP="009F05B8">
      <w:pPr>
        <w:pStyle w:val="Paragraphedeliste"/>
        <w:numPr>
          <w:ilvl w:val="0"/>
          <w:numId w:val="3"/>
        </w:numPr>
      </w:pPr>
      <w:r>
        <w:t>Acceptation-rejet (version « bête et méchante »</w:t>
      </w:r>
      <w:r w:rsidR="0074200B">
        <w:t>)</w:t>
      </w:r>
      <w:r>
        <w:t>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une approche géométrique,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la méthode des fonctions inverses.</w:t>
      </w:r>
    </w:p>
    <w:p w:rsidR="00F54ED0" w:rsidRDefault="009B760C" w:rsidP="0099217E">
      <w:r>
        <w:t xml:space="preserve">Nous allons </w:t>
      </w:r>
      <w:r w:rsidR="00777CD5">
        <w:t>observer</w:t>
      </w:r>
      <w:r>
        <w:t xml:space="preserve"> </w:t>
      </w:r>
      <w:r w:rsidR="008251A7">
        <w:t xml:space="preserve">dans un premier temps </w:t>
      </w:r>
      <w:r>
        <w:t>les résultats de ces méthodes en fonction de différents jeux de données</w:t>
      </w:r>
      <w:r w:rsidR="0051108C">
        <w:t>.</w:t>
      </w:r>
      <w:r>
        <w:t xml:space="preserve"> </w:t>
      </w:r>
      <w:r w:rsidR="0051108C">
        <w:t>L’analyse des performances des différentes méthodes s’effectuera</w:t>
      </w:r>
      <w:r>
        <w:t xml:space="preserve"> </w:t>
      </w:r>
      <w:r w:rsidR="008251A7">
        <w:t>dans un deuxième t</w:t>
      </w:r>
      <w:r w:rsidR="00455FD3">
        <w:t>emps</w:t>
      </w:r>
      <w:r w:rsidR="0051108C">
        <w:t>, en</w:t>
      </w:r>
      <w:r w:rsidR="008251A7">
        <w:t xml:space="preserve"> </w:t>
      </w:r>
      <w:r w:rsidR="0051108C">
        <w:t>comparant</w:t>
      </w:r>
      <w:r w:rsidR="00921FDA">
        <w:t xml:space="preserve"> </w:t>
      </w:r>
      <w:r w:rsidR="00E017C6">
        <w:t>leurs temps d’exécution</w:t>
      </w:r>
      <w:r w:rsidR="00921FDA">
        <w:t xml:space="preserve"> </w:t>
      </w:r>
      <w:r w:rsidR="00E82714">
        <w:t xml:space="preserve">suivant les </w:t>
      </w:r>
      <w:r w:rsidR="00422599">
        <w:t>situations</w:t>
      </w:r>
      <w:r w:rsidR="00E82714">
        <w:t xml:space="preserve"> </w:t>
      </w:r>
      <w:r w:rsidR="00921FDA">
        <w:t xml:space="preserve">afin </w:t>
      </w:r>
      <w:r w:rsidR="006747F4">
        <w:t>de se faire</w:t>
      </w:r>
      <w:r w:rsidR="00921FDA">
        <w:t xml:space="preserve"> une idée de leur efficacité</w:t>
      </w:r>
      <w:r w:rsidR="008B12BD">
        <w:t xml:space="preserve"> et de leurs cas d’utilisation</w:t>
      </w:r>
      <w:r w:rsidR="00921FDA">
        <w:t>.</w:t>
      </w:r>
    </w:p>
    <w:p w:rsidR="000657C9" w:rsidRDefault="000657C9">
      <w:r>
        <w:br w:type="page"/>
      </w:r>
    </w:p>
    <w:p w:rsidR="0099217E" w:rsidRDefault="0099217E"/>
    <w:p w:rsidR="00513A41" w:rsidRDefault="00513A41" w:rsidP="00635BA8">
      <w:pPr>
        <w:pStyle w:val="Titre1"/>
      </w:pPr>
      <w:r>
        <w:t>Résultats des tests</w:t>
      </w:r>
    </w:p>
    <w:p w:rsidR="00635BA8" w:rsidRPr="00635BA8" w:rsidRDefault="00635BA8" w:rsidP="00635BA8"/>
    <w:p w:rsidR="00706F8D" w:rsidRDefault="007935DA">
      <w:r>
        <w:t>Voici</w:t>
      </w:r>
      <w:r w:rsidR="00E23F39">
        <w:t xml:space="preserve"> </w:t>
      </w:r>
      <w:r w:rsidR="00D821E1">
        <w:t xml:space="preserve">ci-après </w:t>
      </w:r>
      <w:r w:rsidR="00E23F39">
        <w:t xml:space="preserve">les résultats des algorithmes avec </w:t>
      </w:r>
      <w:r w:rsidR="0080422C">
        <w:t>5</w:t>
      </w:r>
      <w:r>
        <w:t>000 simulations de 100</w:t>
      </w:r>
      <w:r w:rsidR="0080422C">
        <w:t>0</w:t>
      </w:r>
      <w:r>
        <w:t>000</w:t>
      </w:r>
      <w:r w:rsidR="00E23F39">
        <w:t xml:space="preserve"> </w:t>
      </w:r>
      <w:r w:rsidR="00660884">
        <w:t>générations de réalisations de variables aléatoires</w:t>
      </w:r>
      <w:r w:rsidR="00E23F39">
        <w:t>.</w:t>
      </w:r>
      <w:r w:rsidR="00706F8D">
        <w:t xml:space="preserve"> L’espérance</w:t>
      </w:r>
      <w:r w:rsidR="00312885">
        <w:t>, calculée au préalable,</w:t>
      </w:r>
      <w:r w:rsidR="00706F8D">
        <w:t xml:space="preserve"> figure pour chaque </w:t>
      </w:r>
      <w:r w:rsidR="00F1133D">
        <w:t>jeu de données</w:t>
      </w:r>
      <w:r w:rsidR="00C21705">
        <w:t>. Nous l’utiliserons</w:t>
      </w:r>
      <w:r w:rsidR="00D44BEB">
        <w:t xml:space="preserve"> uniquement</w:t>
      </w:r>
      <w:r w:rsidR="00C21705">
        <w:t xml:space="preserve"> </w:t>
      </w:r>
      <w:r w:rsidR="00D44BEB">
        <w:t>dans le but</w:t>
      </w:r>
      <w:r w:rsidR="00C21705">
        <w:t xml:space="preserve"> de vérifier</w:t>
      </w:r>
      <w:r w:rsidR="005966B4">
        <w:t xml:space="preserve"> la validité de l’implémentation des méthodes.</w:t>
      </w:r>
    </w:p>
    <w:p w:rsidR="000F12F1" w:rsidRDefault="000F12F1"/>
    <w:p w:rsidR="00EA2A70" w:rsidRDefault="0040208C" w:rsidP="00BB7073">
      <w:pPr>
        <w:pStyle w:val="Titre2"/>
      </w:pPr>
      <w:r>
        <w:t>Premier jeu de données – Uniforme (5,15)</w:t>
      </w:r>
    </w:p>
    <w:p w:rsidR="00BB7073" w:rsidRPr="00BB7073" w:rsidRDefault="00BB7073" w:rsidP="00BB7073"/>
    <w:p w:rsidR="0040208C" w:rsidRDefault="00503C90">
      <w:r w:rsidRPr="00BD0D0A">
        <w:rPr>
          <w:i/>
        </w:rPr>
        <w:t>Espérance</w:t>
      </w:r>
      <w:r>
        <w:t xml:space="preserve">: </w:t>
      </w:r>
      <w:r w:rsidRPr="00206A82">
        <w:rPr>
          <w:b/>
        </w:rPr>
        <w:t>10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873D5B" w:rsidTr="00873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A9463A" w:rsidRDefault="00A9463A" w:rsidP="00A946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873D5B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A9463A" w:rsidRPr="008A2816" w:rsidRDefault="00A9463A" w:rsidP="00A946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A9463A" w:rsidRPr="008A2816" w:rsidRDefault="00FD344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A9463A" w:rsidRPr="008A2816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9.</w:t>
            </w:r>
            <w:r w:rsidR="00151B85" w:rsidRPr="008A2816">
              <w:rPr>
                <w:sz w:val="20"/>
                <w:szCs w:val="20"/>
              </w:rPr>
              <w:t xml:space="preserve"> 99876</w:t>
            </w:r>
          </w:p>
        </w:tc>
        <w:tc>
          <w:tcPr>
            <w:tcW w:w="1276" w:type="dxa"/>
          </w:tcPr>
          <w:p w:rsidR="00A9463A" w:rsidRPr="008A2816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</w:t>
            </w:r>
            <w:r w:rsidR="00753625" w:rsidRPr="008A2816">
              <w:rPr>
                <w:sz w:val="20"/>
                <w:szCs w:val="20"/>
              </w:rPr>
              <w:t>88805</w:t>
            </w:r>
          </w:p>
        </w:tc>
        <w:tc>
          <w:tcPr>
            <w:tcW w:w="2301" w:type="dxa"/>
          </w:tcPr>
          <w:p w:rsidR="00A9463A" w:rsidRPr="008A2816" w:rsidRDefault="009B65D5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[9.9931,10.0044]</w:t>
            </w:r>
          </w:p>
        </w:tc>
        <w:tc>
          <w:tcPr>
            <w:tcW w:w="1389" w:type="dxa"/>
          </w:tcPr>
          <w:p w:rsidR="00A9463A" w:rsidRPr="008A2816" w:rsidRDefault="000E30C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0.0113212</w:t>
            </w:r>
          </w:p>
        </w:tc>
      </w:tr>
      <w:tr w:rsidR="00A9463A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A9463A" w:rsidRPr="008A2816" w:rsidRDefault="00A9463A" w:rsidP="00A946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A9463A" w:rsidRPr="008A2816" w:rsidRDefault="00A9463A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</w:t>
            </w:r>
            <w:r w:rsidR="0001781C" w:rsidRPr="008A2816">
              <w:rPr>
                <w:sz w:val="20"/>
                <w:szCs w:val="20"/>
              </w:rPr>
              <w:t xml:space="preserve"> [s]</w:t>
            </w:r>
          </w:p>
        </w:tc>
        <w:tc>
          <w:tcPr>
            <w:tcW w:w="1271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0.0564822</w:t>
            </w:r>
          </w:p>
        </w:tc>
        <w:tc>
          <w:tcPr>
            <w:tcW w:w="1276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0.002313</w:t>
            </w:r>
          </w:p>
        </w:tc>
        <w:tc>
          <w:tcPr>
            <w:tcW w:w="2301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[0.0564181,0.0565463]</w:t>
            </w:r>
          </w:p>
        </w:tc>
        <w:tc>
          <w:tcPr>
            <w:tcW w:w="1389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0.000128226</w:t>
            </w:r>
          </w:p>
        </w:tc>
      </w:tr>
      <w:tr w:rsidR="00D0767B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D0767B" w:rsidRPr="008A2816" w:rsidRDefault="006D5F95" w:rsidP="00D0767B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D0767B" w:rsidRPr="008A2816" w:rsidRDefault="00D0767B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10.0035</w:t>
            </w:r>
          </w:p>
        </w:tc>
        <w:tc>
          <w:tcPr>
            <w:tcW w:w="1276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2.88826</w:t>
            </w:r>
          </w:p>
        </w:tc>
        <w:tc>
          <w:tcPr>
            <w:tcW w:w="2301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[9.9978,10.0091]</w:t>
            </w:r>
          </w:p>
        </w:tc>
        <w:tc>
          <w:tcPr>
            <w:tcW w:w="1389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0.011322</w:t>
            </w:r>
          </w:p>
        </w:tc>
      </w:tr>
      <w:tr w:rsidR="00D0767B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D0767B" w:rsidRPr="008A2816" w:rsidRDefault="00D0767B" w:rsidP="00D076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D0767B" w:rsidRPr="008A2816" w:rsidRDefault="00D0767B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0.0806404</w:t>
            </w:r>
          </w:p>
        </w:tc>
        <w:tc>
          <w:tcPr>
            <w:tcW w:w="1276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0.00373474</w:t>
            </w:r>
          </w:p>
        </w:tc>
        <w:tc>
          <w:tcPr>
            <w:tcW w:w="2301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[0.0805369,0.0807439]</w:t>
            </w:r>
          </w:p>
        </w:tc>
        <w:tc>
          <w:tcPr>
            <w:tcW w:w="1389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0.000207043</w:t>
            </w:r>
          </w:p>
        </w:tc>
      </w:tr>
      <w:tr w:rsidR="00E446FC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E446FC" w:rsidRPr="008A2816" w:rsidRDefault="00E446FC" w:rsidP="00E446FC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E446FC" w:rsidRPr="008A2816" w:rsidRDefault="00E446FC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9.99826</w:t>
            </w:r>
          </w:p>
        </w:tc>
        <w:tc>
          <w:tcPr>
            <w:tcW w:w="1276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2.88586</w:t>
            </w:r>
          </w:p>
        </w:tc>
        <w:tc>
          <w:tcPr>
            <w:tcW w:w="2301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[9.9926,10.0039]</w:t>
            </w:r>
          </w:p>
        </w:tc>
        <w:tc>
          <w:tcPr>
            <w:tcW w:w="1389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0.0113126</w:t>
            </w:r>
          </w:p>
        </w:tc>
      </w:tr>
      <w:tr w:rsidR="00E446FC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E446FC" w:rsidRPr="008A2816" w:rsidRDefault="00E446FC" w:rsidP="00E44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E446FC" w:rsidRPr="008A2816" w:rsidRDefault="00E446FC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E446FC" w:rsidRPr="008A2816" w:rsidRDefault="00395C08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0.0538264</w:t>
            </w:r>
          </w:p>
        </w:tc>
        <w:tc>
          <w:tcPr>
            <w:tcW w:w="1276" w:type="dxa"/>
          </w:tcPr>
          <w:p w:rsidR="00E446FC" w:rsidRPr="008A2816" w:rsidRDefault="0046325F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0.0022246</w:t>
            </w:r>
          </w:p>
        </w:tc>
        <w:tc>
          <w:tcPr>
            <w:tcW w:w="2301" w:type="dxa"/>
          </w:tcPr>
          <w:p w:rsidR="00E446FC" w:rsidRPr="008A2816" w:rsidRDefault="00EF05D7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[0.0537647,0.0538881]</w:t>
            </w:r>
          </w:p>
        </w:tc>
        <w:tc>
          <w:tcPr>
            <w:tcW w:w="1389" w:type="dxa"/>
          </w:tcPr>
          <w:p w:rsidR="00E446FC" w:rsidRPr="008A2816" w:rsidRDefault="00353DB5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0.000123326</w:t>
            </w:r>
          </w:p>
        </w:tc>
      </w:tr>
    </w:tbl>
    <w:p w:rsidR="00EA2A70" w:rsidRDefault="00EA2A70"/>
    <w:p w:rsidR="0073547E" w:rsidRDefault="000843EC">
      <w:r>
        <w:t>En regardant ce tableau, on</w:t>
      </w:r>
      <w:r w:rsidR="002623F8">
        <w:t xml:space="preserve"> remarque tout d’abord </w:t>
      </w:r>
      <w:r w:rsidR="0073547E">
        <w:t>que les résultats des trois méthodes sont très proches les uns des autres (écarts-types et largeurs d’IC par exemple)</w:t>
      </w:r>
      <w:r w:rsidR="00EC342F">
        <w:t xml:space="preserve">. </w:t>
      </w:r>
      <w:r w:rsidR="00705775">
        <w:t xml:space="preserve">On constate également que </w:t>
      </w:r>
      <w:r w:rsidR="00AF72DE">
        <w:t>l</w:t>
      </w:r>
      <w:r w:rsidR="00EC342F">
        <w:t>es moyennes obtenu</w:t>
      </w:r>
      <w:r w:rsidR="00773DB9">
        <w:t>es sont relativement proches de l’espérance.</w:t>
      </w:r>
      <w:r w:rsidR="0073547E">
        <w:t xml:space="preserve"> </w:t>
      </w:r>
      <w:r w:rsidR="007470FE">
        <w:t>E</w:t>
      </w:r>
      <w:r w:rsidR="001C4C63">
        <w:t>n</w:t>
      </w:r>
      <w:r w:rsidR="006B576A">
        <w:t xml:space="preserve"> jetant un œil aux 3 intervalles de confiance (à 95%), nous pouvons </w:t>
      </w:r>
      <w:r w:rsidR="00F75534">
        <w:t>constater</w:t>
      </w:r>
      <w:r w:rsidR="006B576A">
        <w:t xml:space="preserve"> que l’espérance théorique s’</w:t>
      </w:r>
      <w:r w:rsidR="00BF6224">
        <w:t>y trouve (bien entendu, il aurait pu arriver qu’elle soit en dehors de l’IC, mais elle se retrouve statistiquement 95% du temps dedans).</w:t>
      </w:r>
      <w:r w:rsidR="0019481C">
        <w:t xml:space="preserve"> </w:t>
      </w:r>
      <w:r w:rsidR="00BF6224">
        <w:t xml:space="preserve">Tout ceci </w:t>
      </w:r>
      <w:r w:rsidR="003D1847">
        <w:t xml:space="preserve">peut nous laisser penser </w:t>
      </w:r>
      <w:r w:rsidR="004C03E5">
        <w:t xml:space="preserve">aux premiers abords </w:t>
      </w:r>
      <w:r w:rsidR="003D1847">
        <w:t>que l’implémentati</w:t>
      </w:r>
      <w:r w:rsidR="00C27C70">
        <w:t>on des algorithmes est correcte.</w:t>
      </w:r>
    </w:p>
    <w:p w:rsidR="00C96CFC" w:rsidRDefault="0073547E" w:rsidP="00C96CFC">
      <w:r>
        <w:t xml:space="preserve">Nous </w:t>
      </w:r>
      <w:r w:rsidR="00BF4150">
        <w:t>nous intéresserons aux</w:t>
      </w:r>
      <w:r>
        <w:t xml:space="preserve"> temps </w:t>
      </w:r>
      <w:r w:rsidR="001C63DC">
        <w:t xml:space="preserve">d’exécution </w:t>
      </w:r>
      <w:r>
        <w:t xml:space="preserve">dans la section dédiée à l’analyse des performances. </w:t>
      </w:r>
    </w:p>
    <w:p w:rsidR="00C96CFC" w:rsidRDefault="00C96CFC" w:rsidP="00C96CFC"/>
    <w:p w:rsidR="00627948" w:rsidRDefault="00FF7E6E" w:rsidP="00C96CFC">
      <w:pPr>
        <w:pStyle w:val="Titre2"/>
      </w:pPr>
      <w:r>
        <w:t>Deuxième jeu de données – Mélange de deux variables triangulaires</w:t>
      </w:r>
    </w:p>
    <w:p w:rsidR="00627948" w:rsidRDefault="00627948" w:rsidP="00627948"/>
    <w:p w:rsidR="00C56006" w:rsidRDefault="00C56006" w:rsidP="00C56006">
      <w:r w:rsidRPr="00BD0D0A">
        <w:rPr>
          <w:i/>
        </w:rPr>
        <w:t>Espérance</w:t>
      </w:r>
      <w:r>
        <w:t xml:space="preserve">: </w:t>
      </w:r>
      <w:r w:rsidR="00195440">
        <w:rPr>
          <w:b/>
        </w:rPr>
        <w:t>8.5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C56006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56006" w:rsidRDefault="00C56006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8.49921</w:t>
            </w:r>
          </w:p>
        </w:tc>
        <w:tc>
          <w:tcPr>
            <w:tcW w:w="1276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4.62769</w:t>
            </w:r>
          </w:p>
        </w:tc>
        <w:tc>
          <w:tcPr>
            <w:tcW w:w="2301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[8.49014,8.50828]</w:t>
            </w:r>
          </w:p>
        </w:tc>
        <w:tc>
          <w:tcPr>
            <w:tcW w:w="1389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0.0181405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0.167804</w:t>
            </w:r>
          </w:p>
        </w:tc>
        <w:tc>
          <w:tcPr>
            <w:tcW w:w="1276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0.00859517</w:t>
            </w:r>
          </w:p>
        </w:tc>
        <w:tc>
          <w:tcPr>
            <w:tcW w:w="2301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[0.167566,0.168042]</w:t>
            </w:r>
          </w:p>
        </w:tc>
        <w:tc>
          <w:tcPr>
            <w:tcW w:w="1389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0.000476492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8.4945</w:t>
            </w:r>
          </w:p>
        </w:tc>
        <w:tc>
          <w:tcPr>
            <w:tcW w:w="1276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4.62789</w:t>
            </w:r>
          </w:p>
        </w:tc>
        <w:tc>
          <w:tcPr>
            <w:tcW w:w="2301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[8.48543,8.50357]</w:t>
            </w:r>
          </w:p>
        </w:tc>
        <w:tc>
          <w:tcPr>
            <w:tcW w:w="1389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0.0181413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475AD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0.0875782</w:t>
            </w:r>
          </w:p>
        </w:tc>
        <w:tc>
          <w:tcPr>
            <w:tcW w:w="1276" w:type="dxa"/>
          </w:tcPr>
          <w:p w:rsidR="00C56006" w:rsidRPr="008A2816" w:rsidRDefault="00475AD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0.00301226</w:t>
            </w:r>
          </w:p>
        </w:tc>
        <w:tc>
          <w:tcPr>
            <w:tcW w:w="2301" w:type="dxa"/>
          </w:tcPr>
          <w:p w:rsidR="00C56006" w:rsidRPr="008A2816" w:rsidRDefault="00EC645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[0.0874947,0.0876617]</w:t>
            </w:r>
          </w:p>
        </w:tc>
        <w:tc>
          <w:tcPr>
            <w:tcW w:w="1389" w:type="dxa"/>
          </w:tcPr>
          <w:p w:rsidR="00C56006" w:rsidRPr="008A2816" w:rsidRDefault="002065E5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0.000166991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D279C7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8.49832</w:t>
            </w:r>
          </w:p>
        </w:tc>
        <w:tc>
          <w:tcPr>
            <w:tcW w:w="1276" w:type="dxa"/>
          </w:tcPr>
          <w:p w:rsidR="00C56006" w:rsidRPr="008A2816" w:rsidRDefault="0089175A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4.62784</w:t>
            </w:r>
          </w:p>
        </w:tc>
        <w:tc>
          <w:tcPr>
            <w:tcW w:w="2301" w:type="dxa"/>
          </w:tcPr>
          <w:p w:rsidR="00C56006" w:rsidRPr="008A2816" w:rsidRDefault="00E275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[8.48925,8.50739]</w:t>
            </w:r>
          </w:p>
        </w:tc>
        <w:tc>
          <w:tcPr>
            <w:tcW w:w="1389" w:type="dxa"/>
          </w:tcPr>
          <w:p w:rsidR="00C56006" w:rsidRPr="008A2816" w:rsidRDefault="00E94C59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0.0181411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BF779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0.0682266</w:t>
            </w:r>
          </w:p>
        </w:tc>
        <w:tc>
          <w:tcPr>
            <w:tcW w:w="1276" w:type="dxa"/>
          </w:tcPr>
          <w:p w:rsidR="00C56006" w:rsidRPr="008A2816" w:rsidRDefault="0089441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0.00263762</w:t>
            </w:r>
          </w:p>
        </w:tc>
        <w:tc>
          <w:tcPr>
            <w:tcW w:w="2301" w:type="dxa"/>
          </w:tcPr>
          <w:p w:rsidR="00C56006" w:rsidRPr="008A2816" w:rsidRDefault="00E57CB5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[0.0681535,0.0682997]</w:t>
            </w:r>
          </w:p>
        </w:tc>
        <w:tc>
          <w:tcPr>
            <w:tcW w:w="1389" w:type="dxa"/>
          </w:tcPr>
          <w:p w:rsidR="00C56006" w:rsidRPr="008A2816" w:rsidRDefault="00817BF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0.000146222</w:t>
            </w:r>
          </w:p>
        </w:tc>
      </w:tr>
    </w:tbl>
    <w:p w:rsidR="001A5A47" w:rsidRDefault="001A5A47"/>
    <w:p w:rsidR="0051108C" w:rsidRDefault="0051108C">
      <w:r>
        <w:t xml:space="preserve">A nouveau, on peut remarquer </w:t>
      </w:r>
      <w:r w:rsidR="00065C1A">
        <w:t>que les résultats des trois méthodes sont similaires, que la moyenne est proche de l’espérance et que cette dernière se trouve dans les trois intervalles de confiance.</w:t>
      </w:r>
    </w:p>
    <w:p w:rsidR="00A7366F" w:rsidRDefault="00A7366F"/>
    <w:p w:rsidR="00092668" w:rsidRDefault="00A7366F" w:rsidP="00D01025">
      <w:pPr>
        <w:pStyle w:val="Titre2"/>
      </w:pPr>
      <w:r>
        <w:t xml:space="preserve">Troisième jeu de données </w:t>
      </w:r>
      <w:r w:rsidR="00092668">
        <w:t>–</w:t>
      </w:r>
      <w:r>
        <w:t xml:space="preserve"> </w:t>
      </w:r>
      <w:r w:rsidR="00092668">
        <w:t>Profil plutôt plat</w:t>
      </w:r>
    </w:p>
    <w:p w:rsidR="00D01025" w:rsidRDefault="00D01025" w:rsidP="00D01025"/>
    <w:p w:rsidR="00304C2B" w:rsidRDefault="00304C2B" w:rsidP="00304C2B">
      <w:r w:rsidRPr="00BD0D0A">
        <w:rPr>
          <w:i/>
        </w:rPr>
        <w:t>Espérance</w:t>
      </w:r>
      <w:r>
        <w:t xml:space="preserve">: </w:t>
      </w:r>
      <w:r w:rsidR="00FE02B6" w:rsidRPr="00FE02B6">
        <w:rPr>
          <w:b/>
        </w:rPr>
        <w:t>10.758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304C2B" w:rsidRPr="008A2816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Méthode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Unité mesurée</w:t>
            </w:r>
          </w:p>
        </w:tc>
        <w:tc>
          <w:tcPr>
            <w:tcW w:w="1271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Moyenne</w:t>
            </w:r>
          </w:p>
        </w:tc>
        <w:tc>
          <w:tcPr>
            <w:tcW w:w="1276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Écart-type</w:t>
            </w:r>
          </w:p>
        </w:tc>
        <w:tc>
          <w:tcPr>
            <w:tcW w:w="2301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IC</w:t>
            </w:r>
          </w:p>
        </w:tc>
        <w:tc>
          <w:tcPr>
            <w:tcW w:w="1389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Largeur IC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10.7559</w:t>
            </w:r>
          </w:p>
        </w:tc>
        <w:tc>
          <w:tcPr>
            <w:tcW w:w="1276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5.22366</w:t>
            </w:r>
          </w:p>
        </w:tc>
        <w:tc>
          <w:tcPr>
            <w:tcW w:w="2301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[10.7456,10.7661]</w:t>
            </w:r>
          </w:p>
        </w:tc>
        <w:tc>
          <w:tcPr>
            <w:tcW w:w="1389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0.0204767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BF7F8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0.0793284</w:t>
            </w:r>
          </w:p>
        </w:tc>
        <w:tc>
          <w:tcPr>
            <w:tcW w:w="1276" w:type="dxa"/>
          </w:tcPr>
          <w:p w:rsidR="00304C2B" w:rsidRPr="008A2816" w:rsidRDefault="00BF7F8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0.00326109</w:t>
            </w:r>
          </w:p>
        </w:tc>
        <w:tc>
          <w:tcPr>
            <w:tcW w:w="2301" w:type="dxa"/>
          </w:tcPr>
          <w:p w:rsidR="00304C2B" w:rsidRPr="008A2816" w:rsidRDefault="008D6471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[0.079238,0.0794188]</w:t>
            </w:r>
          </w:p>
        </w:tc>
        <w:tc>
          <w:tcPr>
            <w:tcW w:w="1389" w:type="dxa"/>
          </w:tcPr>
          <w:p w:rsidR="00304C2B" w:rsidRPr="008A2816" w:rsidRDefault="00813F8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0.000180785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10.7412</w:t>
            </w:r>
          </w:p>
        </w:tc>
        <w:tc>
          <w:tcPr>
            <w:tcW w:w="1276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5.20638</w:t>
            </w:r>
          </w:p>
        </w:tc>
        <w:tc>
          <w:tcPr>
            <w:tcW w:w="2301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[10.731,10.7514]</w:t>
            </w:r>
          </w:p>
        </w:tc>
        <w:tc>
          <w:tcPr>
            <w:tcW w:w="1389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0.020409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0.0922574</w:t>
            </w:r>
          </w:p>
        </w:tc>
        <w:tc>
          <w:tcPr>
            <w:tcW w:w="1276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0.0027182</w:t>
            </w:r>
          </w:p>
        </w:tc>
        <w:tc>
          <w:tcPr>
            <w:tcW w:w="2301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[0.0921821,0.0923327]</w:t>
            </w:r>
          </w:p>
        </w:tc>
        <w:tc>
          <w:tcPr>
            <w:tcW w:w="1389" w:type="dxa"/>
          </w:tcPr>
          <w:p w:rsidR="00304C2B" w:rsidRPr="008A2816" w:rsidRDefault="00010ED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0.000150689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10.7552</w:t>
            </w:r>
          </w:p>
        </w:tc>
        <w:tc>
          <w:tcPr>
            <w:tcW w:w="1276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5.22255</w:t>
            </w:r>
          </w:p>
        </w:tc>
        <w:tc>
          <w:tcPr>
            <w:tcW w:w="2301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[10.745,10.7655]</w:t>
            </w:r>
          </w:p>
        </w:tc>
        <w:tc>
          <w:tcPr>
            <w:tcW w:w="1389" w:type="dxa"/>
          </w:tcPr>
          <w:p w:rsidR="00304C2B" w:rsidRPr="008A2816" w:rsidRDefault="000B4059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0.0204724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3D174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0.0745272</w:t>
            </w:r>
          </w:p>
        </w:tc>
        <w:tc>
          <w:tcPr>
            <w:tcW w:w="1276" w:type="dxa"/>
          </w:tcPr>
          <w:p w:rsidR="00304C2B" w:rsidRPr="008A2816" w:rsidRDefault="0008434D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0.00268177</w:t>
            </w:r>
          </w:p>
        </w:tc>
        <w:tc>
          <w:tcPr>
            <w:tcW w:w="2301" w:type="dxa"/>
          </w:tcPr>
          <w:p w:rsidR="00304C2B" w:rsidRPr="008A2816" w:rsidRDefault="006B6E4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[0.0744529,0.0746015]</w:t>
            </w:r>
          </w:p>
        </w:tc>
        <w:tc>
          <w:tcPr>
            <w:tcW w:w="1389" w:type="dxa"/>
          </w:tcPr>
          <w:p w:rsidR="00304C2B" w:rsidRPr="008A2816" w:rsidRDefault="0054233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0.00014867</w:t>
            </w:r>
          </w:p>
        </w:tc>
      </w:tr>
    </w:tbl>
    <w:p w:rsidR="00D01025" w:rsidRDefault="00D01025" w:rsidP="00D01025"/>
    <w:p w:rsidR="008B77B6" w:rsidRPr="00D01025" w:rsidRDefault="008B77B6" w:rsidP="00D01025">
      <w:r>
        <w:t xml:space="preserve">On peut faire les mêmes commentaires que précédemment ici aussi, la seule exception étant l’espérance n’étant pas dans l’IC </w:t>
      </w:r>
      <w:r w:rsidR="00961C18">
        <w:t>(</w:t>
      </w:r>
      <w:r w:rsidR="005B705D">
        <w:t>relatif</w:t>
      </w:r>
      <w:r w:rsidR="00961C18">
        <w:t xml:space="preserve"> </w:t>
      </w:r>
      <w:r w:rsidR="005B705D">
        <w:t>aux</w:t>
      </w:r>
      <w:r w:rsidR="00961C18">
        <w:t xml:space="preserve"> réalisations</w:t>
      </w:r>
      <w:r w:rsidR="005B705D">
        <w:t xml:space="preserve"> de </w:t>
      </w:r>
      <w:r w:rsidR="001C5919">
        <w:t xml:space="preserve">la </w:t>
      </w:r>
      <w:r w:rsidR="005B705D">
        <w:t>variable aléatoire</w:t>
      </w:r>
      <w:r w:rsidR="00453A50">
        <w:t xml:space="preserve"> </w:t>
      </w:r>
      <w:r>
        <w:t>de la méthode 2</w:t>
      </w:r>
      <w:r w:rsidR="00453A50">
        <w:t>). O</w:t>
      </w:r>
      <w:r>
        <w:t xml:space="preserve">n remarque alors un </w:t>
      </w:r>
      <w:r w:rsidR="00CE0B2D">
        <w:t>exemp</w:t>
      </w:r>
      <w:r w:rsidR="00D676BE">
        <w:t>l</w:t>
      </w:r>
      <w:r w:rsidR="005A6415">
        <w:t>e</w:t>
      </w:r>
      <w:r>
        <w:t xml:space="preserve"> où l’espérance n’est pas dans l’</w:t>
      </w:r>
      <w:r w:rsidR="00453A50">
        <w:t>intervalle de confiance</w:t>
      </w:r>
      <w:r>
        <w:t>.</w:t>
      </w:r>
    </w:p>
    <w:p w:rsidR="00D01025" w:rsidRDefault="00D01025"/>
    <w:p w:rsidR="00092668" w:rsidRDefault="00092668" w:rsidP="007A66CE">
      <w:pPr>
        <w:pStyle w:val="Titre2"/>
      </w:pPr>
      <w:r>
        <w:t>Quatrième jeu de données – Profil accidenté</w:t>
      </w:r>
    </w:p>
    <w:p w:rsidR="007A66CE" w:rsidRDefault="007A66CE" w:rsidP="007A66CE"/>
    <w:p w:rsidR="007A66CE" w:rsidRDefault="007A66CE" w:rsidP="007A66CE">
      <w:r w:rsidRPr="00BD0D0A">
        <w:rPr>
          <w:i/>
        </w:rPr>
        <w:t>Espérance</w:t>
      </w:r>
      <w:r>
        <w:t xml:space="preserve">: </w:t>
      </w:r>
      <w:r w:rsidR="004814BE" w:rsidRPr="004814BE">
        <w:rPr>
          <w:b/>
        </w:rPr>
        <w:t>10.2616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7A66CE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7A66CE" w:rsidRDefault="007A66CE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8350E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10.2598</w:t>
            </w:r>
          </w:p>
        </w:tc>
        <w:tc>
          <w:tcPr>
            <w:tcW w:w="1276" w:type="dxa"/>
          </w:tcPr>
          <w:p w:rsidR="007A66CE" w:rsidRPr="00290B55" w:rsidRDefault="00AF2354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5.70906</w:t>
            </w:r>
          </w:p>
        </w:tc>
        <w:tc>
          <w:tcPr>
            <w:tcW w:w="2301" w:type="dxa"/>
          </w:tcPr>
          <w:p w:rsidR="007A66CE" w:rsidRPr="00290B55" w:rsidRDefault="000F383A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[10.2486,10.2709]</w:t>
            </w:r>
          </w:p>
        </w:tc>
        <w:tc>
          <w:tcPr>
            <w:tcW w:w="1389" w:type="dxa"/>
          </w:tcPr>
          <w:p w:rsidR="007A66CE" w:rsidRPr="00290B55" w:rsidRDefault="00FC750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0.0223795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D26AD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0.257825</w:t>
            </w:r>
          </w:p>
        </w:tc>
        <w:tc>
          <w:tcPr>
            <w:tcW w:w="1276" w:type="dxa"/>
          </w:tcPr>
          <w:p w:rsidR="007A66CE" w:rsidRPr="00290B55" w:rsidRDefault="0001658F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0.00595176</w:t>
            </w:r>
          </w:p>
        </w:tc>
        <w:tc>
          <w:tcPr>
            <w:tcW w:w="2301" w:type="dxa"/>
          </w:tcPr>
          <w:p w:rsidR="007A66CE" w:rsidRPr="00290B55" w:rsidRDefault="002A454D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[0.25766,0.25799]</w:t>
            </w:r>
          </w:p>
        </w:tc>
        <w:tc>
          <w:tcPr>
            <w:tcW w:w="1389" w:type="dxa"/>
          </w:tcPr>
          <w:p w:rsidR="007A66CE" w:rsidRPr="00290B55" w:rsidRDefault="008F213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0.000329949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F454F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10.2584</w:t>
            </w:r>
          </w:p>
        </w:tc>
        <w:tc>
          <w:tcPr>
            <w:tcW w:w="1276" w:type="dxa"/>
          </w:tcPr>
          <w:p w:rsidR="007A66CE" w:rsidRPr="00290B55" w:rsidRDefault="00DE75A4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5.70699</w:t>
            </w:r>
          </w:p>
        </w:tc>
        <w:tc>
          <w:tcPr>
            <w:tcW w:w="2301" w:type="dxa"/>
          </w:tcPr>
          <w:p w:rsidR="007A66CE" w:rsidRPr="00290B55" w:rsidRDefault="009A4BC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[10.2472,10.2696]</w:t>
            </w:r>
          </w:p>
        </w:tc>
        <w:tc>
          <w:tcPr>
            <w:tcW w:w="1389" w:type="dxa"/>
          </w:tcPr>
          <w:p w:rsidR="007A66CE" w:rsidRPr="00290B55" w:rsidRDefault="00911A12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0.0223714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0A26D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0.0954716</w:t>
            </w:r>
          </w:p>
        </w:tc>
        <w:tc>
          <w:tcPr>
            <w:tcW w:w="1276" w:type="dxa"/>
          </w:tcPr>
          <w:p w:rsidR="007A66CE" w:rsidRPr="00290B55" w:rsidRDefault="000A26D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0.00334572</w:t>
            </w:r>
          </w:p>
        </w:tc>
        <w:tc>
          <w:tcPr>
            <w:tcW w:w="2301" w:type="dxa"/>
          </w:tcPr>
          <w:p w:rsidR="007A66CE" w:rsidRPr="00290B55" w:rsidRDefault="0073579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[0.0953789,0.0955643]</w:t>
            </w:r>
          </w:p>
        </w:tc>
        <w:tc>
          <w:tcPr>
            <w:tcW w:w="1389" w:type="dxa"/>
          </w:tcPr>
          <w:p w:rsidR="007A66CE" w:rsidRPr="00290B55" w:rsidRDefault="008F401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0.000185477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206898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10.259</w:t>
            </w:r>
          </w:p>
        </w:tc>
        <w:tc>
          <w:tcPr>
            <w:tcW w:w="1276" w:type="dxa"/>
          </w:tcPr>
          <w:p w:rsidR="007A66CE" w:rsidRPr="00290B55" w:rsidRDefault="001C670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5.70972</w:t>
            </w:r>
          </w:p>
        </w:tc>
        <w:tc>
          <w:tcPr>
            <w:tcW w:w="2301" w:type="dxa"/>
          </w:tcPr>
          <w:p w:rsidR="007A66CE" w:rsidRPr="00290B55" w:rsidRDefault="00863C72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[10.2478,10.2702]</w:t>
            </w:r>
          </w:p>
        </w:tc>
        <w:tc>
          <w:tcPr>
            <w:tcW w:w="1389" w:type="dxa"/>
          </w:tcPr>
          <w:p w:rsidR="007A66CE" w:rsidRPr="00290B55" w:rsidRDefault="001C691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0.0223821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5816AF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0.08005</w:t>
            </w:r>
          </w:p>
        </w:tc>
        <w:tc>
          <w:tcPr>
            <w:tcW w:w="1276" w:type="dxa"/>
          </w:tcPr>
          <w:p w:rsidR="007A66CE" w:rsidRPr="00290B55" w:rsidRDefault="00542CF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0.00264168</w:t>
            </w:r>
          </w:p>
        </w:tc>
        <w:tc>
          <w:tcPr>
            <w:tcW w:w="2301" w:type="dxa"/>
          </w:tcPr>
          <w:p w:rsidR="007A66CE" w:rsidRPr="00290B55" w:rsidRDefault="00335E59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[0.0799768,0.0801232]</w:t>
            </w:r>
          </w:p>
        </w:tc>
        <w:tc>
          <w:tcPr>
            <w:tcW w:w="1389" w:type="dxa"/>
          </w:tcPr>
          <w:p w:rsidR="007A66CE" w:rsidRPr="00290B55" w:rsidRDefault="00DE7D01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0.000146448</w:t>
            </w:r>
          </w:p>
        </w:tc>
      </w:tr>
    </w:tbl>
    <w:p w:rsidR="007A66CE" w:rsidRPr="007A66CE" w:rsidRDefault="007A66CE" w:rsidP="007A66CE"/>
    <w:p w:rsidR="006B576A" w:rsidRDefault="00874D67">
      <w:r>
        <w:t>A nouveau, les mêmes remarques peuvent être faites au sujet de ce tableau.</w:t>
      </w:r>
    </w:p>
    <w:p w:rsidR="00C33E30" w:rsidRDefault="00C33E30">
      <w:r>
        <w:br w:type="page"/>
      </w:r>
    </w:p>
    <w:p w:rsidR="00383748" w:rsidRDefault="00383748"/>
    <w:p w:rsidR="00513A41" w:rsidRDefault="0099217E" w:rsidP="00FE1B9E">
      <w:pPr>
        <w:pStyle w:val="Titre1"/>
      </w:pPr>
      <w:r>
        <w:t>Analyse des</w:t>
      </w:r>
      <w:r w:rsidR="00513A41">
        <w:t xml:space="preserve"> performances</w:t>
      </w:r>
    </w:p>
    <w:p w:rsidR="003117BB" w:rsidRDefault="003117BB"/>
    <w:p w:rsidR="00582E68" w:rsidRDefault="00E22567" w:rsidP="00837230">
      <w:pPr>
        <w:pStyle w:val="Titre2"/>
      </w:pPr>
      <w:r>
        <w:t>Comportement des fonctions</w:t>
      </w:r>
    </w:p>
    <w:p w:rsidR="00837230" w:rsidRDefault="00837230" w:rsidP="00837230"/>
    <w:p w:rsidR="00251480" w:rsidRDefault="0028130D" w:rsidP="00251480">
      <w:r>
        <w:t xml:space="preserve">Pour </w:t>
      </w:r>
      <w:r w:rsidRPr="007F12E7">
        <w:rPr>
          <w:b/>
        </w:rPr>
        <w:t>l’acceptation-rejet</w:t>
      </w:r>
      <w:r w:rsidR="003F0AD5">
        <w:t xml:space="preserve"> « bête et méchante »</w:t>
      </w:r>
      <w:r>
        <w:t xml:space="preserve">, </w:t>
      </w:r>
      <w:r w:rsidR="004029CF">
        <w:t xml:space="preserve">il faut enfermer la fonction dans </w:t>
      </w:r>
      <w:r w:rsidR="00F13EB0">
        <w:t xml:space="preserve">le </w:t>
      </w:r>
      <w:r w:rsidR="0012627C">
        <w:t>rectangle</w:t>
      </w:r>
      <w:r w:rsidR="004A335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×</m:t>
        </m:r>
        <m:r>
          <w:rPr>
            <w:rFonts w:ascii="Cambria Math" w:hAnsi="Cambria Math"/>
          </w:rPr>
          <m:t xml:space="preserve"> 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max </m:t>
            </m:r>
          </m:sub>
        </m:sSub>
        <m:r>
          <w:rPr>
            <w:rFonts w:ascii="Cambria Math" w:hAnsi="Cambria Math"/>
          </w:rPr>
          <m:t>]</m:t>
        </m:r>
      </m:oMath>
      <w:r w:rsidR="003F1FB8">
        <w:t xml:space="preserve">,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3F1FB8">
        <w:t xml:space="preserve"> étant le maximum des ordonnées des points constituant la fonction.</w:t>
      </w:r>
      <w:r w:rsidR="00D05C0C">
        <w:t xml:space="preserve"> Un point (X,Y) sera généré dans ce rectangle. On accepte X si Y est sous la fonction. Un profil plat imp</w:t>
      </w:r>
      <w:r w:rsidR="00E44F65">
        <w:t xml:space="preserve">lique que la fonction sera plutôt proche du « haut » du rectangle. </w:t>
      </w:r>
      <w:r w:rsidR="00A7760D">
        <w:t>Dans le cas de l’uniforme,</w:t>
      </w:r>
      <w:r w:rsidR="00E44F65">
        <w:t xml:space="preserve"> </w:t>
      </w:r>
      <w:r w:rsidR="00251480">
        <w:t>c</w:t>
      </w:r>
      <w:r w:rsidR="004029CF">
        <w:t>omme chaque ordonnée des p</w:t>
      </w:r>
      <w:r w:rsidR="00F13EB0">
        <w:t xml:space="preserve">oints de l’uniforme est égal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4029CF">
        <w:t>, le point généré sera forcément accepté (il ne peut être généré au-dessus de la fonction).</w:t>
      </w:r>
      <w:r w:rsidR="00251480">
        <w:t xml:space="preserve"> </w:t>
      </w:r>
      <w:r w:rsidR="00D1210F">
        <w:t>Il s’agit donc d’un des cas idéaux d’utilisation de cette méthode.</w:t>
      </w:r>
    </w:p>
    <w:p w:rsidR="007F12E7" w:rsidRDefault="00251480" w:rsidP="007F12E7">
      <w:r>
        <w:t xml:space="preserve">Pour résumer, </w:t>
      </w:r>
      <w:r>
        <w:t>Quand le profil de la fonction est relativement « plat », l’acceptation-rejet reste en lice avec les autres algorithmes</w:t>
      </w:r>
      <w:r w:rsidR="00061785">
        <w:t xml:space="preserve"> (figure 1 et 3</w:t>
      </w:r>
      <w:r w:rsidR="001A2651">
        <w:t xml:space="preserve"> ci-après</w:t>
      </w:r>
      <w:r w:rsidR="00061785">
        <w:t>)</w:t>
      </w:r>
      <w:r>
        <w:t>. Dans le cas contraire</w:t>
      </w:r>
      <w:r w:rsidR="007F12E7">
        <w:t xml:space="preserve"> (beaucoup de variations entre les ordonnées des points)</w:t>
      </w:r>
      <w:r>
        <w:t>, c’est la catastrophe. Le rectangle englobant la fonction se trouve être énorme, donc on devra générer beaucoup de points pour tomber sous la fonction.</w:t>
      </w:r>
    </w:p>
    <w:p w:rsidR="00CC7567" w:rsidRDefault="00CC7567" w:rsidP="007F12E7"/>
    <w:p w:rsidR="007F12E7" w:rsidRDefault="007F12E7" w:rsidP="007F12E7">
      <w:r>
        <w:t xml:space="preserve">Pour la </w:t>
      </w:r>
      <w:r w:rsidRPr="009D4647">
        <w:rPr>
          <w:b/>
        </w:rPr>
        <w:t xml:space="preserve">méthode </w:t>
      </w:r>
      <w:r w:rsidR="009D4647" w:rsidRPr="009D4647">
        <w:rPr>
          <w:b/>
        </w:rPr>
        <w:t>des mélanges couplée à l’approche géométrique</w:t>
      </w:r>
      <w:r w:rsidR="009D4647">
        <w:t xml:space="preserve">, </w:t>
      </w:r>
      <w:r w:rsidR="00210195">
        <w:t xml:space="preserve">on aura </w:t>
      </w:r>
      <w:r w:rsidR="00A97AD9">
        <w:t>en théorie les temps d’exécution qui seront approximativement les mêmes, qu’importe la fonction</w:t>
      </w:r>
      <w:r w:rsidR="00210195">
        <w:t>. En effet, on génère un point (X,Y) et on l’accepte à chaque fois : s’il est sous la fonction, on retourne X</w:t>
      </w:r>
      <w:r w:rsidR="001A2651">
        <w:t>. D</w:t>
      </w:r>
      <w:r w:rsidR="00210195">
        <w:t>ans le cas contraire</w:t>
      </w:r>
      <w:r w:rsidR="00417EE4">
        <w:t xml:space="preserve"> on effectue une symétrie sur X.</w:t>
      </w:r>
      <w:r w:rsidR="00061785">
        <w:t xml:space="preserve"> </w:t>
      </w:r>
      <w:r w:rsidR="005666A6">
        <w:t xml:space="preserve">On vérifie notre hypothèse </w:t>
      </w:r>
      <w:r w:rsidR="00E71024">
        <w:t xml:space="preserve">en </w:t>
      </w:r>
      <w:r w:rsidR="005666A6">
        <w:t xml:space="preserve">observant </w:t>
      </w:r>
      <w:r w:rsidR="001A2651">
        <w:t>les figures 1 à 4</w:t>
      </w:r>
      <w:r w:rsidR="00DA4016">
        <w:t xml:space="preserve"> : les temps </w:t>
      </w:r>
      <w:r w:rsidR="009F0181">
        <w:t>convergent vers une même valeur</w:t>
      </w:r>
      <w:r w:rsidR="00DA4016">
        <w:t>.</w:t>
      </w:r>
    </w:p>
    <w:p w:rsidR="005C37D7" w:rsidRDefault="005C37D7" w:rsidP="007F1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</w:p>
    <w:p w:rsidR="00A7760D" w:rsidRDefault="007F12E7" w:rsidP="00837230">
      <w:r w:rsidRPr="00EC298C">
        <w:t xml:space="preserve"> </w:t>
      </w:r>
      <w:r w:rsidR="00A7760D">
        <w:t xml:space="preserve">Enfin, pour la méthode des mélanges couplée à la méthode des fonctions inverses, on a le cas </w:t>
      </w:r>
    </w:p>
    <w:p w:rsidR="009D2CCA" w:rsidRPr="00837230" w:rsidRDefault="009D2CCA" w:rsidP="00837230"/>
    <w:p w:rsidR="00C57839" w:rsidRDefault="0019736F">
      <w:r>
        <w:t xml:space="preserve">Note : </w:t>
      </w:r>
      <w:r w:rsidR="00512C90">
        <w:t>o</w:t>
      </w:r>
      <w:r w:rsidR="008F6DE3">
        <w:t>n remarque</w:t>
      </w:r>
      <w:r w:rsidR="00370E26">
        <w:t xml:space="preserve"> sur les figures</w:t>
      </w:r>
      <w:r w:rsidR="008F6DE3">
        <w:t xml:space="preserve"> que </w:t>
      </w:r>
      <w:r w:rsidR="00C92CEA">
        <w:t>la borne</w:t>
      </w:r>
      <w:r w:rsidR="00F47DD9">
        <w:t xml:space="preserve"> </w:t>
      </w:r>
      <w:r w:rsidR="00C92CEA">
        <w:t>inférieure</w:t>
      </w:r>
      <w:r w:rsidR="00F47DD9">
        <w:t xml:space="preserve"> et </w:t>
      </w:r>
      <w:r w:rsidR="00C92CEA">
        <w:t>supérieure</w:t>
      </w:r>
      <w:r w:rsidR="00122B4D">
        <w:t xml:space="preserve"> des IC sont très proches</w:t>
      </w:r>
      <w:r w:rsidR="008249DF">
        <w:t>. Comme</w:t>
      </w:r>
      <w:r w:rsidR="00C57839">
        <w:t xml:space="preserve"> on veut </w:t>
      </w:r>
      <w:r w:rsidR="008249DF">
        <w:t xml:space="preserve">représenter les 3 IC en même temps pour </w:t>
      </w:r>
      <w:r w:rsidR="00EC2FCC">
        <w:t>une</w:t>
      </w:r>
      <w:r w:rsidR="008249DF">
        <w:t xml:space="preserve"> méthode, on ne voit malheureusement pas la différence entre </w:t>
      </w:r>
      <w:r w:rsidR="00693784">
        <w:t>la borne</w:t>
      </w:r>
      <w:r w:rsidR="008249DF">
        <w:t xml:space="preserve"> infé</w:t>
      </w:r>
      <w:r w:rsidR="00693784">
        <w:t>rieure</w:t>
      </w:r>
      <w:r w:rsidR="008249DF">
        <w:t>,</w:t>
      </w:r>
      <w:r w:rsidR="00693784">
        <w:t xml:space="preserve"> supérieure</w:t>
      </w:r>
      <w:r w:rsidR="008249DF">
        <w:t xml:space="preserve"> et la moyenne… </w:t>
      </w:r>
    </w:p>
    <w:p w:rsidR="00B61EF6" w:rsidRDefault="008249DF">
      <w:r>
        <w:t xml:space="preserve">On peut tout de même constater que les IC ont </w:t>
      </w:r>
      <w:r w:rsidR="000A79D8">
        <w:t>une</w:t>
      </w:r>
      <w:r>
        <w:t xml:space="preserve"> largeur</w:t>
      </w:r>
      <w:r w:rsidR="000A79D8">
        <w:t xml:space="preserve"> similaire</w:t>
      </w:r>
      <w:r w:rsidR="006B5B9D">
        <w:t xml:space="preserve"> </w:t>
      </w:r>
      <w:r>
        <w:t>et que l’on peut ainsi bien se rendre compte d</w:t>
      </w:r>
      <w:r w:rsidR="000A5013">
        <w:t>e l’efficacité des 3 algorithme</w:t>
      </w:r>
      <w:r w:rsidR="00410693">
        <w:t>s</w:t>
      </w:r>
      <w:r>
        <w:t>.</w:t>
      </w:r>
    </w:p>
    <w:p w:rsidR="005E5DEC" w:rsidRDefault="005E5DEC"/>
    <w:p w:rsidR="005E5DEC" w:rsidRDefault="005E5DEC"/>
    <w:p w:rsidR="005E5DEC" w:rsidRDefault="005E5DEC"/>
    <w:p w:rsidR="005E5DEC" w:rsidRDefault="00DB234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1DA1B8" wp14:editId="18D20077">
            <wp:simplePos x="0" y="0"/>
            <wp:positionH relativeFrom="column">
              <wp:posOffset>3094355</wp:posOffset>
            </wp:positionH>
            <wp:positionV relativeFrom="paragraph">
              <wp:posOffset>287655</wp:posOffset>
            </wp:positionV>
            <wp:extent cx="2940050" cy="2095500"/>
            <wp:effectExtent l="0" t="0" r="12700" b="0"/>
            <wp:wrapTopAndBottom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DEC">
        <w:rPr>
          <w:noProof/>
        </w:rPr>
        <w:drawing>
          <wp:anchor distT="0" distB="0" distL="114300" distR="114300" simplePos="0" relativeHeight="251659264" behindDoc="0" locked="0" layoutInCell="1" allowOverlap="1" wp14:anchorId="4B688901" wp14:editId="045CD8EA">
            <wp:simplePos x="0" y="0"/>
            <wp:positionH relativeFrom="column">
              <wp:posOffset>1905</wp:posOffset>
            </wp:positionH>
            <wp:positionV relativeFrom="paragraph">
              <wp:posOffset>287655</wp:posOffset>
            </wp:positionV>
            <wp:extent cx="2940050" cy="2095500"/>
            <wp:effectExtent l="0" t="0" r="12700" b="0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F29" w:rsidRDefault="00CF70D8">
      <w:r>
        <w:rPr>
          <w:noProof/>
        </w:rPr>
        <w:drawing>
          <wp:anchor distT="0" distB="0" distL="114300" distR="114300" simplePos="0" relativeHeight="251665408" behindDoc="0" locked="0" layoutInCell="1" allowOverlap="1" wp14:anchorId="43501AF2" wp14:editId="73267C32">
            <wp:simplePos x="0" y="0"/>
            <wp:positionH relativeFrom="column">
              <wp:posOffset>3094355</wp:posOffset>
            </wp:positionH>
            <wp:positionV relativeFrom="paragraph">
              <wp:posOffset>2364105</wp:posOffset>
            </wp:positionV>
            <wp:extent cx="2940050" cy="2095500"/>
            <wp:effectExtent l="0" t="0" r="12700" b="0"/>
            <wp:wrapTopAndBottom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1AB98D" wp14:editId="464D147D">
            <wp:simplePos x="0" y="0"/>
            <wp:positionH relativeFrom="column">
              <wp:posOffset>1905</wp:posOffset>
            </wp:positionH>
            <wp:positionV relativeFrom="paragraph">
              <wp:posOffset>2364105</wp:posOffset>
            </wp:positionV>
            <wp:extent cx="2940050" cy="2095500"/>
            <wp:effectExtent l="0" t="0" r="12700" b="0"/>
            <wp:wrapTopAndBottom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</w:t>
      </w:r>
      <w:r w:rsidR="00DA0E9F">
        <w:t xml:space="preserve"> </w:t>
      </w:r>
      <w:r w:rsidR="00CC7C38">
        <w:t>Figure 1</w:t>
      </w:r>
      <w:r>
        <w:t xml:space="preserve">                                                       </w:t>
      </w:r>
      <w:r w:rsidR="00B45C2F">
        <w:t xml:space="preserve">                       </w:t>
      </w:r>
      <w:r w:rsidR="00DA0E9F">
        <w:t xml:space="preserve">     </w:t>
      </w:r>
      <w:r>
        <w:t xml:space="preserve"> Figure 2</w:t>
      </w:r>
    </w:p>
    <w:p w:rsidR="002F4808" w:rsidRDefault="002F4808">
      <w:r>
        <w:t xml:space="preserve">        </w:t>
      </w:r>
      <w:r w:rsidR="00DA0E9F">
        <w:t xml:space="preserve">                               </w:t>
      </w:r>
      <w:r>
        <w:t xml:space="preserve"> Figure 3                                                                               </w:t>
      </w:r>
      <w:r w:rsidR="0072796F">
        <w:t xml:space="preserve">  </w:t>
      </w:r>
      <w:r>
        <w:t xml:space="preserve"> </w:t>
      </w:r>
      <w:r w:rsidR="00DA0E9F">
        <w:t xml:space="preserve">  </w:t>
      </w:r>
      <w:r>
        <w:t xml:space="preserve"> Figure 4</w:t>
      </w:r>
    </w:p>
    <w:sectPr w:rsidR="002F4808" w:rsidSect="00FE1C8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B93" w:rsidRDefault="00215B93" w:rsidP="00FE1C89">
      <w:pPr>
        <w:spacing w:after="0" w:line="240" w:lineRule="auto"/>
      </w:pPr>
      <w:r>
        <w:separator/>
      </w:r>
    </w:p>
  </w:endnote>
  <w:endnote w:type="continuationSeparator" w:id="0">
    <w:p w:rsidR="00215B93" w:rsidRDefault="00215B93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EndPr/>
    <w:sdtContent>
      <w:p w:rsidR="00FE1C89" w:rsidRDefault="00FE1C8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7D7" w:rsidRPr="005C37D7">
          <w:rPr>
            <w:noProof/>
            <w:lang w:val="fr-FR"/>
          </w:rPr>
          <w:t>5</w:t>
        </w:r>
        <w:r>
          <w:fldChar w:fldCharType="end"/>
        </w:r>
      </w:p>
    </w:sdtContent>
  </w:sdt>
  <w:p w:rsidR="00FE1C89" w:rsidRDefault="00FE1C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B93" w:rsidRDefault="00215B93" w:rsidP="00FE1C89">
      <w:pPr>
        <w:spacing w:after="0" w:line="240" w:lineRule="auto"/>
      </w:pPr>
      <w:r>
        <w:separator/>
      </w:r>
    </w:p>
  </w:footnote>
  <w:footnote w:type="continuationSeparator" w:id="0">
    <w:p w:rsidR="00215B93" w:rsidRDefault="00215B93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C89" w:rsidRDefault="00E6016B">
    <w:pPr>
      <w:pStyle w:val="En-tte"/>
    </w:pPr>
    <w:r>
      <w:t>Basile Vu</w:t>
    </w:r>
    <w:r>
      <w:ptab w:relativeTo="margin" w:alignment="center" w:leader="none"/>
    </w:r>
    <w:r w:rsidR="0025337C" w:rsidRPr="0025337C">
      <w:t xml:space="preserve"> </w:t>
    </w:r>
    <w:r w:rsidR="0025337C">
      <w:t>Simulation et Optimisation – TP1</w:t>
    </w:r>
    <w:r>
      <w:ptab w:relativeTo="margin" w:alignment="right" w:leader="none"/>
    </w:r>
    <w:r w:rsidR="0025337C">
      <w:t>14.04.2016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2D405500"/>
    <w:lvl w:ilvl="0" w:tplc="77D00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2C87"/>
    <w:multiLevelType w:val="hybridMultilevel"/>
    <w:tmpl w:val="C15C8C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3EB7"/>
    <w:multiLevelType w:val="hybridMultilevel"/>
    <w:tmpl w:val="58FAD4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10ED7"/>
    <w:rsid w:val="000149F6"/>
    <w:rsid w:val="000156D7"/>
    <w:rsid w:val="0001658F"/>
    <w:rsid w:val="0001781C"/>
    <w:rsid w:val="000212C6"/>
    <w:rsid w:val="00021831"/>
    <w:rsid w:val="00030B08"/>
    <w:rsid w:val="000366C7"/>
    <w:rsid w:val="000562FC"/>
    <w:rsid w:val="00061785"/>
    <w:rsid w:val="000657C9"/>
    <w:rsid w:val="00065C1A"/>
    <w:rsid w:val="00067F53"/>
    <w:rsid w:val="0008434D"/>
    <w:rsid w:val="000843EC"/>
    <w:rsid w:val="00092668"/>
    <w:rsid w:val="000A26D8"/>
    <w:rsid w:val="000A5013"/>
    <w:rsid w:val="000A79D8"/>
    <w:rsid w:val="000B2B85"/>
    <w:rsid w:val="000B4059"/>
    <w:rsid w:val="000B55BF"/>
    <w:rsid w:val="000B579A"/>
    <w:rsid w:val="000C0050"/>
    <w:rsid w:val="000C6843"/>
    <w:rsid w:val="000D1EE5"/>
    <w:rsid w:val="000D2872"/>
    <w:rsid w:val="000D6F31"/>
    <w:rsid w:val="000E30C4"/>
    <w:rsid w:val="000F12F1"/>
    <w:rsid w:val="000F383A"/>
    <w:rsid w:val="000F7956"/>
    <w:rsid w:val="001156A1"/>
    <w:rsid w:val="00122B4D"/>
    <w:rsid w:val="00123B19"/>
    <w:rsid w:val="0012627C"/>
    <w:rsid w:val="0013241C"/>
    <w:rsid w:val="00132C98"/>
    <w:rsid w:val="00143843"/>
    <w:rsid w:val="0014534A"/>
    <w:rsid w:val="00151B85"/>
    <w:rsid w:val="001614E1"/>
    <w:rsid w:val="0016383F"/>
    <w:rsid w:val="00173343"/>
    <w:rsid w:val="00176303"/>
    <w:rsid w:val="00181406"/>
    <w:rsid w:val="00191998"/>
    <w:rsid w:val="0019481C"/>
    <w:rsid w:val="00194862"/>
    <w:rsid w:val="00195440"/>
    <w:rsid w:val="00195479"/>
    <w:rsid w:val="0019736F"/>
    <w:rsid w:val="001A2651"/>
    <w:rsid w:val="001A5A47"/>
    <w:rsid w:val="001A6EE7"/>
    <w:rsid w:val="001B374C"/>
    <w:rsid w:val="001C4533"/>
    <w:rsid w:val="001C4C63"/>
    <w:rsid w:val="001C5919"/>
    <w:rsid w:val="001C63DC"/>
    <w:rsid w:val="001C670E"/>
    <w:rsid w:val="001C691C"/>
    <w:rsid w:val="001D367D"/>
    <w:rsid w:val="001E019B"/>
    <w:rsid w:val="001E7BA8"/>
    <w:rsid w:val="002065E5"/>
    <w:rsid w:val="00206898"/>
    <w:rsid w:val="00206A82"/>
    <w:rsid w:val="00210195"/>
    <w:rsid w:val="00215B93"/>
    <w:rsid w:val="00221E00"/>
    <w:rsid w:val="00251480"/>
    <w:rsid w:val="0025337C"/>
    <w:rsid w:val="002623F8"/>
    <w:rsid w:val="002653C8"/>
    <w:rsid w:val="0028130D"/>
    <w:rsid w:val="00290B55"/>
    <w:rsid w:val="002A454D"/>
    <w:rsid w:val="002A6022"/>
    <w:rsid w:val="002B1B93"/>
    <w:rsid w:val="002B7B78"/>
    <w:rsid w:val="002D3F56"/>
    <w:rsid w:val="002E73B3"/>
    <w:rsid w:val="002F4808"/>
    <w:rsid w:val="00304974"/>
    <w:rsid w:val="00304C2B"/>
    <w:rsid w:val="003117BB"/>
    <w:rsid w:val="00312885"/>
    <w:rsid w:val="0031586B"/>
    <w:rsid w:val="00324080"/>
    <w:rsid w:val="0032549C"/>
    <w:rsid w:val="00335E59"/>
    <w:rsid w:val="00342047"/>
    <w:rsid w:val="00352F88"/>
    <w:rsid w:val="00353DB5"/>
    <w:rsid w:val="00360524"/>
    <w:rsid w:val="00360CC0"/>
    <w:rsid w:val="003617FF"/>
    <w:rsid w:val="00370E26"/>
    <w:rsid w:val="00375FED"/>
    <w:rsid w:val="00383748"/>
    <w:rsid w:val="00395C08"/>
    <w:rsid w:val="003A405D"/>
    <w:rsid w:val="003A598A"/>
    <w:rsid w:val="003D1740"/>
    <w:rsid w:val="003D1847"/>
    <w:rsid w:val="003E2861"/>
    <w:rsid w:val="003F0AD5"/>
    <w:rsid w:val="003F1FB8"/>
    <w:rsid w:val="0040208C"/>
    <w:rsid w:val="004029CF"/>
    <w:rsid w:val="00410693"/>
    <w:rsid w:val="00410F3D"/>
    <w:rsid w:val="00417EE4"/>
    <w:rsid w:val="00422599"/>
    <w:rsid w:val="004375C9"/>
    <w:rsid w:val="00446D75"/>
    <w:rsid w:val="00453A50"/>
    <w:rsid w:val="00455FD3"/>
    <w:rsid w:val="0046128F"/>
    <w:rsid w:val="0046325F"/>
    <w:rsid w:val="004702A4"/>
    <w:rsid w:val="00475AD3"/>
    <w:rsid w:val="004814BE"/>
    <w:rsid w:val="00486991"/>
    <w:rsid w:val="004914DF"/>
    <w:rsid w:val="004A3359"/>
    <w:rsid w:val="004A5065"/>
    <w:rsid w:val="004C03E5"/>
    <w:rsid w:val="004C7B20"/>
    <w:rsid w:val="004E3F4A"/>
    <w:rsid w:val="004E400F"/>
    <w:rsid w:val="004F19FA"/>
    <w:rsid w:val="00503C90"/>
    <w:rsid w:val="0051108C"/>
    <w:rsid w:val="00512C90"/>
    <w:rsid w:val="00513A41"/>
    <w:rsid w:val="005241CD"/>
    <w:rsid w:val="00542330"/>
    <w:rsid w:val="00542CFE"/>
    <w:rsid w:val="005666A6"/>
    <w:rsid w:val="005816AF"/>
    <w:rsid w:val="00582E68"/>
    <w:rsid w:val="005841E1"/>
    <w:rsid w:val="005966B4"/>
    <w:rsid w:val="005A4EBE"/>
    <w:rsid w:val="005A6415"/>
    <w:rsid w:val="005B705D"/>
    <w:rsid w:val="005C3150"/>
    <w:rsid w:val="005C37D7"/>
    <w:rsid w:val="005E0EAD"/>
    <w:rsid w:val="005E12F9"/>
    <w:rsid w:val="005E5440"/>
    <w:rsid w:val="005E5DEC"/>
    <w:rsid w:val="005F2EDD"/>
    <w:rsid w:val="006219AD"/>
    <w:rsid w:val="00627948"/>
    <w:rsid w:val="00635BA8"/>
    <w:rsid w:val="00655BBC"/>
    <w:rsid w:val="00660884"/>
    <w:rsid w:val="006747F4"/>
    <w:rsid w:val="00693784"/>
    <w:rsid w:val="006A1C78"/>
    <w:rsid w:val="006B4193"/>
    <w:rsid w:val="006B576A"/>
    <w:rsid w:val="006B5B9D"/>
    <w:rsid w:val="006B6E42"/>
    <w:rsid w:val="006D5F95"/>
    <w:rsid w:val="006E6801"/>
    <w:rsid w:val="006F575E"/>
    <w:rsid w:val="00705775"/>
    <w:rsid w:val="00706F8D"/>
    <w:rsid w:val="00711FFE"/>
    <w:rsid w:val="0071291E"/>
    <w:rsid w:val="0072796F"/>
    <w:rsid w:val="0073547E"/>
    <w:rsid w:val="00735798"/>
    <w:rsid w:val="0074200B"/>
    <w:rsid w:val="007470FE"/>
    <w:rsid w:val="00753625"/>
    <w:rsid w:val="00773DB9"/>
    <w:rsid w:val="00776001"/>
    <w:rsid w:val="00777CD5"/>
    <w:rsid w:val="007935DA"/>
    <w:rsid w:val="007A1F1A"/>
    <w:rsid w:val="007A66CE"/>
    <w:rsid w:val="007C0915"/>
    <w:rsid w:val="007E5065"/>
    <w:rsid w:val="007E6452"/>
    <w:rsid w:val="007E7ADA"/>
    <w:rsid w:val="007F09C1"/>
    <w:rsid w:val="007F12E7"/>
    <w:rsid w:val="007F4F60"/>
    <w:rsid w:val="0080422C"/>
    <w:rsid w:val="00813F82"/>
    <w:rsid w:val="00817BF3"/>
    <w:rsid w:val="00821263"/>
    <w:rsid w:val="008249DF"/>
    <w:rsid w:val="008251A7"/>
    <w:rsid w:val="008350E5"/>
    <w:rsid w:val="00837230"/>
    <w:rsid w:val="00837999"/>
    <w:rsid w:val="008472F7"/>
    <w:rsid w:val="00863C72"/>
    <w:rsid w:val="00873D5B"/>
    <w:rsid w:val="00874D67"/>
    <w:rsid w:val="008812ED"/>
    <w:rsid w:val="00886EEE"/>
    <w:rsid w:val="00887047"/>
    <w:rsid w:val="0089175A"/>
    <w:rsid w:val="0089441B"/>
    <w:rsid w:val="008A16E9"/>
    <w:rsid w:val="008A2816"/>
    <w:rsid w:val="008A337A"/>
    <w:rsid w:val="008A3FCB"/>
    <w:rsid w:val="008B12BD"/>
    <w:rsid w:val="008B30C4"/>
    <w:rsid w:val="008B5426"/>
    <w:rsid w:val="008B77B6"/>
    <w:rsid w:val="008D1BB4"/>
    <w:rsid w:val="008D567D"/>
    <w:rsid w:val="008D6471"/>
    <w:rsid w:val="008D6C11"/>
    <w:rsid w:val="008F2136"/>
    <w:rsid w:val="008F4010"/>
    <w:rsid w:val="008F6DE3"/>
    <w:rsid w:val="00911A12"/>
    <w:rsid w:val="00921FDA"/>
    <w:rsid w:val="00923875"/>
    <w:rsid w:val="00944B0A"/>
    <w:rsid w:val="0095654B"/>
    <w:rsid w:val="00961C18"/>
    <w:rsid w:val="00980044"/>
    <w:rsid w:val="00983138"/>
    <w:rsid w:val="0099217E"/>
    <w:rsid w:val="009A4BCF"/>
    <w:rsid w:val="009B65D5"/>
    <w:rsid w:val="009B760C"/>
    <w:rsid w:val="009D2CCA"/>
    <w:rsid w:val="009D3BB0"/>
    <w:rsid w:val="009D4647"/>
    <w:rsid w:val="009E110F"/>
    <w:rsid w:val="009F0181"/>
    <w:rsid w:val="009F05B8"/>
    <w:rsid w:val="009F4F68"/>
    <w:rsid w:val="00A36677"/>
    <w:rsid w:val="00A4721A"/>
    <w:rsid w:val="00A47913"/>
    <w:rsid w:val="00A55DE3"/>
    <w:rsid w:val="00A72F32"/>
    <w:rsid w:val="00A7366F"/>
    <w:rsid w:val="00A762B6"/>
    <w:rsid w:val="00A7760D"/>
    <w:rsid w:val="00A84D31"/>
    <w:rsid w:val="00A9463A"/>
    <w:rsid w:val="00A97AD9"/>
    <w:rsid w:val="00AE3C2A"/>
    <w:rsid w:val="00AF0EC4"/>
    <w:rsid w:val="00AF2354"/>
    <w:rsid w:val="00AF72DE"/>
    <w:rsid w:val="00B22E37"/>
    <w:rsid w:val="00B32F16"/>
    <w:rsid w:val="00B45C2F"/>
    <w:rsid w:val="00B61EF6"/>
    <w:rsid w:val="00B8388B"/>
    <w:rsid w:val="00B96C43"/>
    <w:rsid w:val="00B97EA3"/>
    <w:rsid w:val="00BA1C80"/>
    <w:rsid w:val="00BB7073"/>
    <w:rsid w:val="00BC0F29"/>
    <w:rsid w:val="00BD0D0A"/>
    <w:rsid w:val="00BE1044"/>
    <w:rsid w:val="00BE3439"/>
    <w:rsid w:val="00BF4150"/>
    <w:rsid w:val="00BF5C8C"/>
    <w:rsid w:val="00BF6224"/>
    <w:rsid w:val="00BF7796"/>
    <w:rsid w:val="00BF7F8B"/>
    <w:rsid w:val="00C175AC"/>
    <w:rsid w:val="00C21705"/>
    <w:rsid w:val="00C27C70"/>
    <w:rsid w:val="00C33E30"/>
    <w:rsid w:val="00C56006"/>
    <w:rsid w:val="00C57839"/>
    <w:rsid w:val="00C739A2"/>
    <w:rsid w:val="00C91C45"/>
    <w:rsid w:val="00C92CEA"/>
    <w:rsid w:val="00C96CFC"/>
    <w:rsid w:val="00CA01AB"/>
    <w:rsid w:val="00CA2906"/>
    <w:rsid w:val="00CA4F19"/>
    <w:rsid w:val="00CA523B"/>
    <w:rsid w:val="00CC7567"/>
    <w:rsid w:val="00CC7C38"/>
    <w:rsid w:val="00CE0B2D"/>
    <w:rsid w:val="00CE1E2A"/>
    <w:rsid w:val="00CF70D8"/>
    <w:rsid w:val="00D01025"/>
    <w:rsid w:val="00D05C0C"/>
    <w:rsid w:val="00D0767B"/>
    <w:rsid w:val="00D112E2"/>
    <w:rsid w:val="00D1210F"/>
    <w:rsid w:val="00D124B9"/>
    <w:rsid w:val="00D26AD2"/>
    <w:rsid w:val="00D279C7"/>
    <w:rsid w:val="00D33969"/>
    <w:rsid w:val="00D35343"/>
    <w:rsid w:val="00D44BEB"/>
    <w:rsid w:val="00D50832"/>
    <w:rsid w:val="00D51A7A"/>
    <w:rsid w:val="00D57395"/>
    <w:rsid w:val="00D64B43"/>
    <w:rsid w:val="00D676BE"/>
    <w:rsid w:val="00D821E1"/>
    <w:rsid w:val="00D9115A"/>
    <w:rsid w:val="00D91CEC"/>
    <w:rsid w:val="00DA0E9F"/>
    <w:rsid w:val="00DA4016"/>
    <w:rsid w:val="00DB2345"/>
    <w:rsid w:val="00DD272B"/>
    <w:rsid w:val="00DE154C"/>
    <w:rsid w:val="00DE75A4"/>
    <w:rsid w:val="00DE7D01"/>
    <w:rsid w:val="00DF7A13"/>
    <w:rsid w:val="00E017C6"/>
    <w:rsid w:val="00E07613"/>
    <w:rsid w:val="00E22567"/>
    <w:rsid w:val="00E23F39"/>
    <w:rsid w:val="00E2758C"/>
    <w:rsid w:val="00E30D25"/>
    <w:rsid w:val="00E33C03"/>
    <w:rsid w:val="00E446FC"/>
    <w:rsid w:val="00E44F65"/>
    <w:rsid w:val="00E57CB5"/>
    <w:rsid w:val="00E6016B"/>
    <w:rsid w:val="00E71024"/>
    <w:rsid w:val="00E82714"/>
    <w:rsid w:val="00E910D3"/>
    <w:rsid w:val="00E94C59"/>
    <w:rsid w:val="00EA2A70"/>
    <w:rsid w:val="00EB06C3"/>
    <w:rsid w:val="00EB7C62"/>
    <w:rsid w:val="00EC1216"/>
    <w:rsid w:val="00EC28B4"/>
    <w:rsid w:val="00EC298C"/>
    <w:rsid w:val="00EC2FCC"/>
    <w:rsid w:val="00EC342F"/>
    <w:rsid w:val="00EC6453"/>
    <w:rsid w:val="00ED398C"/>
    <w:rsid w:val="00EF05D7"/>
    <w:rsid w:val="00EF2119"/>
    <w:rsid w:val="00F052A1"/>
    <w:rsid w:val="00F063B8"/>
    <w:rsid w:val="00F07A96"/>
    <w:rsid w:val="00F10329"/>
    <w:rsid w:val="00F1133D"/>
    <w:rsid w:val="00F13EB0"/>
    <w:rsid w:val="00F3219F"/>
    <w:rsid w:val="00F42D47"/>
    <w:rsid w:val="00F454F3"/>
    <w:rsid w:val="00F47DD9"/>
    <w:rsid w:val="00F54ED0"/>
    <w:rsid w:val="00F75534"/>
    <w:rsid w:val="00FA0C90"/>
    <w:rsid w:val="00FC7505"/>
    <w:rsid w:val="00FD0C1D"/>
    <w:rsid w:val="00FD3444"/>
    <w:rsid w:val="00FE02B6"/>
    <w:rsid w:val="00FE1B9E"/>
    <w:rsid w:val="00FE1C89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FD34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02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7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 de données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0.168042</c:v>
                </c:pt>
                <c:pt idx="1">
                  <c:v>8.7661699999999995E-2</c:v>
                </c:pt>
                <c:pt idx="2">
                  <c:v>6.8299700000000005E-2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0.16756599999999999</c:v>
                </c:pt>
                <c:pt idx="1">
                  <c:v>8.7494699999999995E-2</c:v>
                </c:pt>
                <c:pt idx="2">
                  <c:v>6.8153500000000006E-2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0.16780400000000001</c:v>
                </c:pt>
                <c:pt idx="1">
                  <c:v>8.7578199999999995E-2</c:v>
                </c:pt>
                <c:pt idx="2">
                  <c:v>6.8226599999999998E-2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180873032"/>
        <c:axId val="180872640"/>
      </c:stockChart>
      <c:catAx>
        <c:axId val="180873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0872640"/>
        <c:crosses val="autoZero"/>
        <c:auto val="1"/>
        <c:lblAlgn val="ctr"/>
        <c:lblOffset val="100"/>
        <c:noMultiLvlLbl val="0"/>
      </c:catAx>
      <c:valAx>
        <c:axId val="180872640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0873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</a:t>
            </a:r>
            <a:r>
              <a:rPr lang="fr-CH" baseline="0"/>
              <a:t> de données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5.6546300000000001E-2</c:v>
                </c:pt>
                <c:pt idx="1">
                  <c:v>8.0743899999999993E-2</c:v>
                </c:pt>
                <c:pt idx="2">
                  <c:v>5.3888100000000001E-2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5.6418099999999999E-2</c:v>
                </c:pt>
                <c:pt idx="1">
                  <c:v>8.0536899999999995E-2</c:v>
                </c:pt>
                <c:pt idx="2">
                  <c:v>5.3764699999999999E-2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5.6482199999999996E-2</c:v>
                </c:pt>
                <c:pt idx="1">
                  <c:v>8.0640400000000001E-2</c:v>
                </c:pt>
                <c:pt idx="2">
                  <c:v>5.3826399999999996E-2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180871464"/>
        <c:axId val="180873816"/>
      </c:stockChart>
      <c:catAx>
        <c:axId val="18087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0873816"/>
        <c:crosses val="autoZero"/>
        <c:auto val="1"/>
        <c:lblAlgn val="ctr"/>
        <c:lblOffset val="100"/>
        <c:noMultiLvlLbl val="0"/>
      </c:catAx>
      <c:valAx>
        <c:axId val="180873816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0871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</a:t>
            </a:r>
            <a:r>
              <a:rPr lang="fr-CH" baseline="0"/>
              <a:t> de données 4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0.25799</c:v>
                </c:pt>
                <c:pt idx="1">
                  <c:v>9.5564300000000005E-2</c:v>
                </c:pt>
                <c:pt idx="2">
                  <c:v>8.0123200000000006E-2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0.25766</c:v>
                </c:pt>
                <c:pt idx="1">
                  <c:v>9.5378900000000003E-2</c:v>
                </c:pt>
                <c:pt idx="2">
                  <c:v>7.9976800000000001E-2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0.25782499999999997</c:v>
                </c:pt>
                <c:pt idx="1">
                  <c:v>9.5471600000000004E-2</c:v>
                </c:pt>
                <c:pt idx="2">
                  <c:v>8.005000000000001E-2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69232640"/>
        <c:axId val="469229504"/>
      </c:stockChart>
      <c:catAx>
        <c:axId val="4692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9229504"/>
        <c:crosses val="autoZero"/>
        <c:auto val="1"/>
        <c:lblAlgn val="ctr"/>
        <c:lblOffset val="100"/>
        <c:noMultiLvlLbl val="0"/>
      </c:catAx>
      <c:valAx>
        <c:axId val="469229504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92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 de données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7.9418799999999998E-2</c:v>
                </c:pt>
                <c:pt idx="1">
                  <c:v>9.2332700000000004E-2</c:v>
                </c:pt>
                <c:pt idx="2">
                  <c:v>7.4601500000000001E-2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7.9238000000000003E-2</c:v>
                </c:pt>
                <c:pt idx="1">
                  <c:v>9.2182100000000003E-2</c:v>
                </c:pt>
                <c:pt idx="2">
                  <c:v>7.4452900000000002E-2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7.9328399999999993E-2</c:v>
                </c:pt>
                <c:pt idx="1">
                  <c:v>9.2257400000000003E-2</c:v>
                </c:pt>
                <c:pt idx="2">
                  <c:v>7.4527200000000002E-2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69230288"/>
        <c:axId val="469230680"/>
      </c:stockChart>
      <c:catAx>
        <c:axId val="46923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9230680"/>
        <c:crosses val="autoZero"/>
        <c:auto val="1"/>
        <c:lblAlgn val="ctr"/>
        <c:lblOffset val="100"/>
        <c:noMultiLvlLbl val="0"/>
      </c:catAx>
      <c:valAx>
        <c:axId val="469230680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923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390</cp:revision>
  <dcterms:created xsi:type="dcterms:W3CDTF">2016-04-13T12:48:00Z</dcterms:created>
  <dcterms:modified xsi:type="dcterms:W3CDTF">2016-04-14T10:34:00Z</dcterms:modified>
</cp:coreProperties>
</file>