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55E"/>
          <w:sz w:val="44"/>
        </w:rPr>
        <w:t>AutoClaim — Rule Engine Analysis &amp; Upgrade Report</w:t>
      </w:r>
    </w:p>
    <w:p/>
    <w:p>
      <w:pPr>
        <w:jc w:val="center"/>
      </w:pPr>
      <w:r>
        <w:rPr>
          <w:i/>
          <w:color w:val="216FAB"/>
          <w:sz w:val="26"/>
        </w:rPr>
        <w:t>v2.0  |  Fraud Detection Rules Deep-Dive</w:t>
      </w:r>
    </w:p>
    <w:p/>
    <w:p>
      <w:pPr>
        <w:jc w:val="center"/>
      </w:pPr>
      <w:r>
        <w:rPr>
          <w:color w:val="808080"/>
          <w:sz w:val="18"/>
        </w:rPr>
        <w:t>Prepared: 2026-02-17  |  Scope: verification_rules.py upgrade</w:t>
      </w:r>
    </w:p>
    <w:p>
      <w:r>
        <w:br w:type="page"/>
      </w:r>
    </w:p>
    <w:p>
      <w:pPr>
        <w:pStyle w:val="Heading1"/>
        <w:jc w:val="left"/>
      </w:pPr>
      <w:r>
        <w:rPr>
          <w:color w:val="1A355E"/>
        </w:rPr>
        <w:t>1. Executive Summary</w:t>
      </w:r>
    </w:p>
    <w:p>
      <w:pPr>
        <w:ind w:left="0"/>
      </w:pPr>
      <w:r>
        <w:rPr>
          <w:b w:val="0"/>
          <w:i w:val="0"/>
          <w:sz w:val="21"/>
        </w:rPr>
        <w:t>This document presents a comprehensive analysis of the AutoClaim rule-based verification engine (verification_rules.py). It identifies gaps in the original 8-rule system against the full ForensicAnalysis data model and the SRS requirements, then specifies 8 additional rules that together form the v2.0 engine (16 rules across 5 verification phases).</w:t>
      </w:r>
    </w:p>
    <w:p/>
    <w:p>
      <w:pPr>
        <w:ind w:left="0"/>
      </w:pPr>
      <w:r>
        <w:rPr>
          <w:b w:val="0"/>
          <w:i w:val="0"/>
          <w:sz w:val="21"/>
        </w:rPr>
        <w:t>The v2.0 engine retains the original philosophy — AI extracts facts, rules make decisions — while adding multi-layer defence against severity inflation, policy fraud, staging rings, and poor-quality image submissions that previously bypassed all checks.</w:t>
      </w:r>
    </w:p>
    <w:p/>
    <w:p>
      <w:pPr>
        <w:pStyle w:val="Heading1"/>
        <w:jc w:val="left"/>
      </w:pPr>
      <w:r>
        <w:rPr>
          <w:color w:val="1A355E"/>
        </w:rPr>
        <w:t>2. System Overview &amp; Data Sources</w:t>
      </w:r>
    </w:p>
    <w:p>
      <w:pPr>
        <w:ind w:left="0"/>
      </w:pPr>
      <w:r>
        <w:rPr>
          <w:b w:val="0"/>
          <w:i w:val="0"/>
          <w:sz w:val="21"/>
        </w:rPr>
        <w:t>The engine consumes structured output from four AI/service pipelines and applies deterministic rules to produce an auditable VerificationResult.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Service</w:t>
            </w:r>
          </w:p>
        </w:tc>
        <w:tc>
          <w:tcPr>
            <w:tcW w:type="dxa" w:w="2381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Key Fields (ForensicAnalysis)</w:t>
            </w:r>
          </w:p>
        </w:tc>
        <w:tc>
          <w:tcPr>
            <w:tcW w:type="dxa" w:w="5443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Used In</w:t>
            </w:r>
          </w:p>
        </w:tc>
      </w:tr>
      <w:tr>
        <w:tc>
          <w:tcPr>
            <w:tcW w:type="dxa" w:w="198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EXIF / Pillow</w:t>
            </w:r>
          </w:p>
        </w:tc>
        <w:tc>
          <w:tcPr>
            <w:tcW w:type="dxa" w:w="2381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exif_timestamp, exif_gps_lat/lon, exif_location_name</w:t>
            </w:r>
          </w:p>
        </w:tc>
        <w:tc>
          <w:tcPr>
            <w:tcW w:type="dxa" w:w="5443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Checks 2, 12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EasyOCR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ocr_plate_text, ocr_plate_confidence, ocr_raw_texts</w:t>
            </w:r>
          </w:p>
        </w:tc>
        <w:tc>
          <w:tcPr>
            <w:tcW w:type="dxa" w:w="544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Checks 6, 7</w:t>
            </w:r>
          </w:p>
        </w:tc>
      </w:tr>
      <w:tr>
        <w:tc>
          <w:tcPr>
            <w:tcW w:type="dxa" w:w="198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Groq AI Vision</w:t>
            </w:r>
          </w:p>
        </w:tc>
        <w:tc>
          <w:tcPr>
            <w:tcW w:type="dxa" w:w="2381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vehicle_*, damage_*, ai_cost_*, pre_existing_*, forensic_*</w:t>
            </w:r>
          </w:p>
        </w:tc>
        <w:tc>
          <w:tcPr>
            <w:tcW w:type="dxa" w:w="5443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Checks 1, 3–5, 8–11, 14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YOLOv8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yolo_damage_detected, yolo_detections, yolo_severity, yolo_summary</w:t>
            </w:r>
          </w:p>
        </w:tc>
        <w:tc>
          <w:tcPr>
            <w:tcW w:type="dxa" w:w="544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9</w:t>
            </w:r>
          </w:p>
        </w:tc>
      </w:tr>
      <w:tr>
        <w:tc>
          <w:tcPr>
            <w:tcW w:type="dxa" w:w="198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Policy DB</w:t>
            </w:r>
          </w:p>
        </w:tc>
        <w:tc>
          <w:tcPr>
            <w:tcW w:type="dxa" w:w="2381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status, vehicle_*, vehicle_registration, chase_number, coverage</w:t>
            </w:r>
          </w:p>
        </w:tc>
        <w:tc>
          <w:tcPr>
            <w:tcW w:type="dxa" w:w="5443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Checks 5–7, 13, 15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Claims History</w:t>
            </w:r>
          </w:p>
        </w:tc>
        <w:tc>
          <w:tcPr>
            <w:tcW w:type="dxa" w:w="238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prior claims per user / plate</w:t>
            </w:r>
          </w:p>
        </w:tc>
        <w:tc>
          <w:tcPr>
            <w:tcW w:type="dxa" w:w="544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16</w:t>
            </w:r>
          </w:p>
        </w:tc>
      </w:tr>
    </w:tbl>
    <w:p/>
    <w:p>
      <w:pPr>
        <w:pStyle w:val="Heading1"/>
        <w:jc w:val="left"/>
      </w:pPr>
      <w:r>
        <w:rPr>
          <w:color w:val="1A355E"/>
        </w:rPr>
        <w:t>3. Gap Analysis — Original v1.x vs Data Model</w:t>
      </w:r>
    </w:p>
    <w:p>
      <w:pPr>
        <w:ind w:left="0"/>
      </w:pPr>
      <w:r>
        <w:rPr>
          <w:b w:val="0"/>
          <w:i w:val="0"/>
          <w:sz w:val="21"/>
        </w:rPr>
        <w:t>The ForensicAnalysis model contains 80+ fields. The original rules only consumed a fraction of them. The table below maps each gap to the risk it leaves open.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Unused Field(s)</w:t>
            </w:r>
          </w:p>
        </w:tc>
        <w:tc>
          <w:tcPr>
            <w:tcW w:type="dxa" w:w="3118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Risk Left Unaddressed</w:t>
            </w:r>
          </w:p>
        </w:tc>
        <w:tc>
          <w:tcPr>
            <w:tcW w:type="dxa" w:w="3855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Covered in v2</w:t>
            </w:r>
          </w:p>
        </w:tc>
      </w:tr>
      <w:tr>
        <w:tc>
          <w:tcPr>
            <w:tcW w:type="dxa" w:w="283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is_screen_recapture, has_ui_elements, is_blurry</w:t>
            </w:r>
          </w:p>
        </w:tc>
        <w:tc>
          <w:tcPr>
            <w:tcW w:type="dxa" w:w="3118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Screen-shots / photos-of-screens bypass ALL EXIF checks</w:t>
            </w:r>
          </w:p>
        </w:tc>
        <w:tc>
          <w:tcPr>
            <w:tcW w:type="dxa" w:w="385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1 — Image Quality Gate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multiple_light_sources, shadows_inconsistent, has_watermarks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Composite images with watermarks slip past forgery check</w:t>
            </w:r>
          </w:p>
        </w:tc>
        <w:tc>
          <w:tcPr>
            <w:tcW w:type="dxa" w:w="385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4 (enhanced)</w:t>
            </w:r>
          </w:p>
        </w:tc>
      </w:tr>
      <w:tr>
        <w:tc>
          <w:tcPr>
            <w:tcW w:type="dxa" w:w="283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vehicle_color</w:t>
            </w:r>
          </w:p>
        </w:tc>
        <w:tc>
          <w:tcPr>
            <w:tcW w:type="dxa" w:w="3118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Wrong-vehicle swap not caught when make/model are generic</w:t>
            </w:r>
          </w:p>
        </w:tc>
        <w:tc>
          <w:tcPr>
            <w:tcW w:type="dxa" w:w="385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5 (enhanced)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license_plate_obscured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Obscured plate caused CRITICAL fail even when unintentional</w:t>
            </w:r>
          </w:p>
        </w:tc>
        <w:tc>
          <w:tcPr>
            <w:tcW w:type="dxa" w:w="385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6 (severity adjusted)</w:t>
            </w:r>
          </w:p>
        </w:tc>
      </w:tr>
      <w:tr>
        <w:tc>
          <w:tcPr>
            <w:tcW w:type="dxa" w:w="283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yolo_damage_detected, yolo_severity</w:t>
            </w:r>
          </w:p>
        </w:tc>
        <w:tc>
          <w:tcPr>
            <w:tcW w:type="dxa" w:w="3118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YOLO and Groq pipelines never cross-validated</w:t>
            </w:r>
          </w:p>
        </w:tc>
        <w:tc>
          <w:tcPr>
            <w:tcW w:type="dxa" w:w="385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9 — YOLO Corroboration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airbags_deployed, fluid_leaks_visible, parts_missing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Totalled-vehicle claims had no physical-evidence gate</w:t>
            </w:r>
          </w:p>
        </w:tc>
        <w:tc>
          <w:tcPr>
            <w:tcW w:type="dxa" w:w="385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10 — Totalled Markers</w:t>
            </w:r>
          </w:p>
        </w:tc>
      </w:tr>
      <w:tr>
        <w:tc>
          <w:tcPr>
            <w:tcW w:type="dxa" w:w="283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ai_cost_min, ai_cost_max, ai_severity == none</w:t>
            </w:r>
          </w:p>
        </w:tc>
        <w:tc>
          <w:tcPr>
            <w:tcW w:type="dxa" w:w="3118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Inflated claims and zero-damage claims passed financial check</w:t>
            </w:r>
          </w:p>
        </w:tc>
        <w:tc>
          <w:tcPr>
            <w:tcW w:type="dxa" w:w="385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14 — Cost Sanity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multi-image metadata consistency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Mixed-incident image sets submitted as one claim</w:t>
            </w:r>
          </w:p>
        </w:tc>
        <w:tc>
          <w:tcPr>
            <w:tcW w:type="dxa" w:w="385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12 — Multi-Image</w:t>
            </w:r>
          </w:p>
        </w:tc>
      </w:tr>
      <w:tr>
        <w:tc>
          <w:tcPr>
            <w:tcW w:type="dxa" w:w="283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policy.status, start_date, end_date, coverage_amount</w:t>
            </w:r>
          </w:p>
        </w:tc>
        <w:tc>
          <w:tcPr>
            <w:tcW w:type="dxa" w:w="3118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Expired or lapsed policies could submit claims</w:t>
            </w:r>
          </w:p>
        </w:tc>
        <w:tc>
          <w:tcPr>
            <w:tcW w:type="dxa" w:w="385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15 — Policy Gate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prior claims per plate/user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Fraud rings and double-dipping undetected</w:t>
            </w:r>
          </w:p>
        </w:tc>
        <w:tc>
          <w:tcPr>
            <w:tcW w:type="dxa" w:w="385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Check 16 — Duplicate Guard</w:t>
            </w:r>
          </w:p>
        </w:tc>
      </w:tr>
    </w:tbl>
    <w:p/>
    <w:p>
      <w:pPr>
        <w:pStyle w:val="Heading1"/>
        <w:jc w:val="left"/>
      </w:pPr>
      <w:r>
        <w:rPr>
          <w:color w:val="1A355E"/>
        </w:rPr>
        <w:t>4. Full Rule Catalogue — v2.0 (16 Rules)</w:t>
      </w:r>
    </w:p>
    <w:p>
      <w:pPr>
        <w:ind w:left="0"/>
      </w:pPr>
      <w:r>
        <w:rPr>
          <w:b w:val="0"/>
          <w:i w:val="0"/>
          <w:sz w:val="21"/>
        </w:rPr>
        <w:t>Rules are organised into 5 phases. 'Status' indicates whether the rule existed in v1.x (EXISTING), was enhanced (ENHANCED), or is brand-new (NEW).</w:t>
      </w:r>
    </w:p>
    <w:p/>
    <w:p>
      <w:pPr>
        <w:pStyle w:val="Heading2"/>
        <w:jc w:val="left"/>
      </w:pPr>
      <w:r>
        <w:rPr>
          <w:color w:val="216FAB"/>
        </w:rPr>
        <w:t>Phase A — Integrity &amp; Source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7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Rule ID</w:t>
            </w:r>
          </w:p>
        </w:tc>
        <w:tc>
          <w:tcPr>
            <w:tcW w:type="dxa" w:w="85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Phase</w:t>
            </w:r>
          </w:p>
        </w:tc>
        <w:tc>
          <w:tcPr>
            <w:tcW w:type="dxa" w:w="1247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Severity</w:t>
            </w:r>
          </w:p>
        </w:tc>
        <w:tc>
          <w:tcPr>
            <w:tcW w:type="dxa" w:w="102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Status</w:t>
            </w:r>
          </w:p>
        </w:tc>
        <w:tc>
          <w:tcPr>
            <w:tcW w:type="dxa" w:w="5216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Description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IMAGE_QUALITY_GATE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08080"/>
                <w:sz w:val="17"/>
              </w:rPr>
              <w:t>CRITICAL/HIGH/MEDIUM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Detects screen-recaptures, UI elements, blurry images. Terminates pipeline early for screen-shots.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METADATA_TIMESTAMP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Verifies EXIF timestamp exists — absent timestamps indicate edited or screen-shot images.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GPS_LOCATION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GPS coordinates must align with policy-registered location (token-overlap match).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GPS_MISSING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08080"/>
                <w:sz w:val="17"/>
              </w:rPr>
              <w:t>LOW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Flags absence of GPS metadata. Older phones lack GPS; treated as LOW to avoid false positives.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STOCK_PHOTO_DETECTED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AI visual analysis indicating high/very-high stock-photo likelihood triggers instant rejection.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STOCK_PHOTO_SUSPICIOUS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Medium stock-photo likelihood flags for human review.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DIGITAL_MANIPULATION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ENHANCED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v2 adds watermark detection, multiple-light-source and shadow-inconsistency checks to editing, lighting, compression.</w:t>
            </w:r>
          </w:p>
        </w:tc>
      </w:tr>
    </w:tbl>
    <w:p/>
    <w:p>
      <w:pPr>
        <w:pStyle w:val="Heading2"/>
        <w:jc w:val="left"/>
      </w:pPr>
      <w:r>
        <w:rPr>
          <w:color w:val="216FAB"/>
        </w:rPr>
        <w:t>Phase B — Vehicle &amp; Damage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7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Rule ID</w:t>
            </w:r>
          </w:p>
        </w:tc>
        <w:tc>
          <w:tcPr>
            <w:tcW w:type="dxa" w:w="85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Phase</w:t>
            </w:r>
          </w:p>
        </w:tc>
        <w:tc>
          <w:tcPr>
            <w:tcW w:type="dxa" w:w="1247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Severity</w:t>
            </w:r>
          </w:p>
        </w:tc>
        <w:tc>
          <w:tcPr>
            <w:tcW w:type="dxa" w:w="102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Status</w:t>
            </w:r>
          </w:p>
        </w:tc>
        <w:tc>
          <w:tcPr>
            <w:tcW w:type="dxa" w:w="5216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Description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VEHICLE_MATCH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Make and model from AI vision must substring-match policy registration.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VEHICLE_COLOR_MISMATCH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Vehicle colour from AI must match policy-recorded colour. MEDIUM severity — AI colour detection is approximate.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VEHICLE_LOW_CONFIDENCE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Vehicle identification confidence &lt; 85% flags for review but does not reject alone.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LICENSE_PLATE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OCR plate text must exactly match policy vehicle_registration (stripped of spaces/dashes).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PLATE_LOW_CONFIDENCE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ENHANCED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OCR confidence &lt; 80%. v2: reduces severity to MEDIUM when plate is flagged as obscured.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PLATE_NOT_DETECTED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08080"/>
                <w:sz w:val="17"/>
              </w:rPr>
              <w:t>HIGH/MED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ENHANCED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v2: severity reduced to MEDIUM when AI flags plate as obscured (NFR-4 compliance).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CHASE_NUMBER_MISMATCH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Chase/VIN exact match against policy chase_number field.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PRE_EXISTING_DAMAGE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ENHANCED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v2: now also reads flat ForensicAnalysis fields (is_rust_present, is_dirt_in_damage, is_paint_faded).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YOLO_AI_DISAGREEMENT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YOLO and Groq must agree on whether damage exists. Disagreement indicates image spoofing between pipelines.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YOLO_AI_SEVERITY_GAP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Severity rating gap &gt;= 2 bands between YOLO and Groq triggers MEDIUM flag + raw score penalty.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TOTALED_NO_PHYSICAL_MARKERS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If AI severity = 'totaled', at least one of: airbags deployed, fluid leaks, parts missing must be visible.</w:t>
            </w:r>
          </w:p>
        </w:tc>
      </w:tr>
    </w:tbl>
    <w:p/>
    <w:p>
      <w:pPr>
        <w:pStyle w:val="Heading2"/>
        <w:jc w:val="left"/>
      </w:pPr>
      <w:r>
        <w:rPr>
          <w:color w:val="216FAB"/>
        </w:rPr>
        <w:t>Phase C — Contextual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7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Rule ID</w:t>
            </w:r>
          </w:p>
        </w:tc>
        <w:tc>
          <w:tcPr>
            <w:tcW w:type="dxa" w:w="85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Phase</w:t>
            </w:r>
          </w:p>
        </w:tc>
        <w:tc>
          <w:tcPr>
            <w:tcW w:type="dxa" w:w="1247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Severity</w:t>
            </w:r>
          </w:p>
        </w:tc>
        <w:tc>
          <w:tcPr>
            <w:tcW w:type="dxa" w:w="102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Status</w:t>
            </w:r>
          </w:p>
        </w:tc>
        <w:tc>
          <w:tcPr>
            <w:tcW w:type="dxa" w:w="5216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Description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NARRATIVE_MISMATCH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User accident description must spatially match damage location (e.g. 'rear-end' → rear bumper damage).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MULTI_IMAGE_INCONSISTENCY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When multiple photos submitted: plates, vehicle, lighting, damage location must be consistent across all images.</w:t>
            </w:r>
          </w:p>
        </w:tc>
      </w:tr>
    </w:tbl>
    <w:p/>
    <w:p>
      <w:pPr>
        <w:pStyle w:val="Heading2"/>
        <w:jc w:val="left"/>
      </w:pPr>
      <w:r>
        <w:rPr>
          <w:color w:val="216FAB"/>
        </w:rPr>
        <w:t>Phase D — Financial Sanity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7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Rule ID</w:t>
            </w:r>
          </w:p>
        </w:tc>
        <w:tc>
          <w:tcPr>
            <w:tcW w:type="dxa" w:w="85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Phase</w:t>
            </w:r>
          </w:p>
        </w:tc>
        <w:tc>
          <w:tcPr>
            <w:tcW w:type="dxa" w:w="1247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Severity</w:t>
            </w:r>
          </w:p>
        </w:tc>
        <w:tc>
          <w:tcPr>
            <w:tcW w:type="dxa" w:w="102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Status</w:t>
            </w:r>
          </w:p>
        </w:tc>
        <w:tc>
          <w:tcPr>
            <w:tcW w:type="dxa" w:w="5216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Description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AMOUNT_EXCEEDS_THRESHOLD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EXISTING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 &gt; ₹20,000 threshold requires human review (FR-3.1).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CLAIM_NO_DAMAGE_DETECTED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AI detects no damage but non-zero claim submitted — strongest inflation signal.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CLAIM_INFLATED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 &gt; 2× AI max cost estimate. Threshold configurable via MAX_CLAIM_TO_ESTIMATE_RATIO.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CLAIM_SUSPICIOUSLY_LOW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08080"/>
                <w:sz w:val="17"/>
              </w:rPr>
              <w:t>LOW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 &lt; half of AI min estimate — may indicate wrong images or under-declaration. LOW severity only.</w:t>
            </w:r>
          </w:p>
        </w:tc>
      </w:tr>
    </w:tbl>
    <w:p/>
    <w:p>
      <w:pPr>
        <w:pStyle w:val="Heading2"/>
        <w:jc w:val="left"/>
      </w:pPr>
      <w:r>
        <w:rPr>
          <w:color w:val="216FAB"/>
        </w:rPr>
        <w:t>Phase E — Policy &amp; History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7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Rule ID</w:t>
            </w:r>
          </w:p>
        </w:tc>
        <w:tc>
          <w:tcPr>
            <w:tcW w:type="dxa" w:w="85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Phase</w:t>
            </w:r>
          </w:p>
        </w:tc>
        <w:tc>
          <w:tcPr>
            <w:tcW w:type="dxa" w:w="1247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Severity</w:t>
            </w:r>
          </w:p>
        </w:tc>
        <w:tc>
          <w:tcPr>
            <w:tcW w:type="dxa" w:w="1020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Status</w:t>
            </w:r>
          </w:p>
        </w:tc>
        <w:tc>
          <w:tcPr>
            <w:tcW w:type="dxa" w:w="5216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Description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POLICY_INACTIVE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Policy status must be 'active'. Lapsed / cancelled policies are CRITICAL.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POLICY_EXPIRED_OR_NOT_STARTED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 date must fall within policy start_date–end_date window.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CLAIM_EXCEEDS_COVERAGE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Claim amount exceeds policy plan coverage ceiling — agent must assess partial payout eligibility.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DUPLICATE_OPEN_CLAIM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Policy already has a pending/processing claim — simultaneous submissions flagged.</w:t>
            </w:r>
          </w:p>
        </w:tc>
      </w:tr>
      <w:tr>
        <w:tc>
          <w:tcPr>
            <w:tcW w:type="dxa" w:w="147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DUPLICATE_PLATE_RECENT</w:t>
            </w:r>
          </w:p>
        </w:tc>
        <w:tc>
          <w:tcPr>
            <w:tcW w:type="dxa" w:w="85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type="dxa" w:w="124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020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NEW</w:t>
            </w:r>
          </w:p>
        </w:tc>
        <w:tc>
          <w:tcPr>
            <w:tcW w:type="dxa" w:w="5216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Same license plate has &gt;= 1 non-rejected claim within the last 30 days — fraud-ring indicator.</w:t>
            </w:r>
          </w:p>
        </w:tc>
      </w:tr>
    </w:tbl>
    <w:p/>
    <w:p>
      <w:pPr>
        <w:pStyle w:val="Heading1"/>
        <w:jc w:val="left"/>
      </w:pPr>
      <w:r>
        <w:rPr>
          <w:color w:val="1A355E"/>
        </w:rPr>
        <w:t>5. Scoring &amp; Decision Logic</w:t>
      </w:r>
    </w:p>
    <w:p>
      <w:pPr>
        <w:ind w:left="0"/>
      </w:pPr>
      <w:r>
        <w:rPr>
          <w:b/>
          <w:i w:val="0"/>
          <w:sz w:val="22"/>
        </w:rPr>
        <w:t>5.1  Severity Weight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Severity</w:t>
            </w:r>
          </w:p>
        </w:tc>
        <w:tc>
          <w:tcPr>
            <w:tcW w:type="dxa" w:w="113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Weight</w:t>
            </w:r>
          </w:p>
        </w:tc>
        <w:tc>
          <w:tcPr>
            <w:tcW w:type="dxa" w:w="6973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Rationale</w:t>
            </w:r>
          </w:p>
        </w:tc>
      </w:tr>
      <w:tr>
        <w:tc>
          <w:tcPr>
            <w:tcW w:type="dxa" w:w="1701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CRITICAL</w:t>
            </w:r>
          </w:p>
        </w:tc>
        <w:tc>
          <w:tcPr>
            <w:tcW w:type="dxa" w:w="113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6973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Definitive fraud signals — almost always reject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697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Strong indicators — typically flag or reject when combined</w:t>
            </w:r>
          </w:p>
        </w:tc>
      </w:tr>
      <w:tr>
        <w:tc>
          <w:tcPr>
            <w:tcW w:type="dxa" w:w="1701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MEDIUM</w:t>
            </w:r>
          </w:p>
        </w:tc>
        <w:tc>
          <w:tcPr>
            <w:tcW w:type="dxa" w:w="113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6973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Moderate concern — escalate if multiple occur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08080"/>
                <w:sz w:val="17"/>
              </w:rPr>
              <w:t>LOW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697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Minor issues — approve with monitoring</w:t>
            </w:r>
          </w:p>
        </w:tc>
      </w:tr>
    </w:tbl>
    <w:p/>
    <w:p>
      <w:pPr>
        <w:ind w:left="0"/>
      </w:pPr>
      <w:r>
        <w:rPr>
          <w:b/>
          <w:i w:val="0"/>
          <w:sz w:val="22"/>
        </w:rPr>
        <w:t>5.2  Compounding Multiplier (v2 NEW)</w:t>
      </w:r>
    </w:p>
    <w:p>
      <w:pPr>
        <w:ind w:left="0"/>
      </w:pPr>
      <w:r>
        <w:rPr>
          <w:b w:val="0"/>
          <w:i w:val="0"/>
          <w:sz w:val="21"/>
        </w:rPr>
        <w:t>When 3 or more CRITICAL + HIGH failures co-occur (indicating correlated, not independent, fraud signals), the raw score is multiplied by 1.5 before thresholding. This prevents a fraudster who knows the individual rule weights from staying just below the rejection threshold via multiple 'medium' manipulations.</w:t>
      </w:r>
    </w:p>
    <w:p/>
    <w:p>
      <w:pPr>
        <w:ind w:left="0"/>
      </w:pPr>
      <w:r>
        <w:rPr>
          <w:b/>
          <w:i w:val="0"/>
          <w:sz w:val="22"/>
        </w:rPr>
        <w:t>5.3  Weighted Confidence Score (v2 NEW)</w:t>
      </w:r>
    </w:p>
    <w:p>
      <w:pPr>
        <w:ind w:left="0"/>
      </w:pPr>
      <w:r>
        <w:rPr>
          <w:b w:val="0"/>
          <w:i w:val="0"/>
          <w:sz w:val="21"/>
        </w:rPr>
        <w:t>In addition to the binary decision, v2 returns a confidence_score (0–100) computed as: (pass_rate − severity_penalty) × 100, where severity_penalty scales with the final score. This numeric score feeds directly into the ForensicAnalysis.overall_confidence_score field and the Agent Dashboard risk display.</w:t>
      </w:r>
    </w:p>
    <w:p/>
    <w:p>
      <w:pPr>
        <w:ind w:left="0"/>
      </w:pPr>
      <w:r>
        <w:rPr>
          <w:b/>
          <w:i w:val="0"/>
          <w:sz w:val="22"/>
        </w:rPr>
        <w:t>5.4  Decision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7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Decision</w:t>
            </w:r>
          </w:p>
        </w:tc>
        <w:tc>
          <w:tcPr>
            <w:tcW w:type="dxa" w:w="4252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Condition</w:t>
            </w:r>
          </w:p>
        </w:tc>
        <w:tc>
          <w:tcPr>
            <w:tcW w:type="dxa" w:w="215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Action</w:t>
            </w:r>
          </w:p>
        </w:tc>
        <w:tc>
          <w:tcPr>
            <w:tcW w:type="dxa" w:w="181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Score Range</w:t>
            </w:r>
          </w:p>
        </w:tc>
      </w:tr>
      <w:tr>
        <w:tc>
          <w:tcPr>
            <w:tcW w:type="dxa" w:w="158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APPROVED</w:t>
            </w:r>
          </w:p>
        </w:tc>
        <w:tc>
          <w:tcPr>
            <w:tcW w:type="dxa" w:w="4252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No failures</w:t>
            </w:r>
          </w:p>
        </w:tc>
        <w:tc>
          <w:tcPr>
            <w:tcW w:type="dxa" w:w="215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Automated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E8449"/>
                <w:sz w:val="17"/>
              </w:rPr>
              <w:t>APPROVED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Only LOW severity (score &lt; 2)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Automated + Monitor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58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68910"/>
                <w:sz w:val="17"/>
              </w:rPr>
              <w:t>FLAGGED</w:t>
            </w:r>
          </w:p>
        </w:tc>
        <w:tc>
          <w:tcPr>
            <w:tcW w:type="dxa" w:w="4252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score ≥ 2 and &lt; 10; no CRITICAL</w:t>
            </w:r>
          </w:p>
        </w:tc>
        <w:tc>
          <w:tcPr>
            <w:tcW w:type="dxa" w:w="215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Human Review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2–9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REJECTED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Any CRITICAL failure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Auto-Reject + Review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10+</w:t>
            </w:r>
          </w:p>
        </w:tc>
      </w:tr>
      <w:tr>
        <w:tc>
          <w:tcPr>
            <w:tcW w:type="dxa" w:w="1587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REJECTED</w:t>
            </w:r>
          </w:p>
        </w:tc>
        <w:tc>
          <w:tcPr>
            <w:tcW w:type="dxa" w:w="4252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score ≥ 10 (with compounding where applicable)</w:t>
            </w:r>
          </w:p>
        </w:tc>
        <w:tc>
          <w:tcPr>
            <w:tcW w:type="dxa" w:w="215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sz w:val="17"/>
              </w:rPr>
              <w:t>Auto-Reject + Review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10+</w:t>
            </w:r>
          </w:p>
        </w:tc>
      </w:tr>
    </w:tbl>
    <w:p/>
    <w:p>
      <w:pPr>
        <w:pStyle w:val="Heading1"/>
        <w:jc w:val="left"/>
      </w:pPr>
      <w:r>
        <w:rPr>
          <w:color w:val="1A355E"/>
        </w:rPr>
        <w:t>6. Implementation Notes</w:t>
      </w:r>
    </w:p>
    <w:p>
      <w:pPr>
        <w:ind w:left="0"/>
      </w:pPr>
      <w:r>
        <w:rPr>
          <w:b/>
          <w:i w:val="0"/>
          <w:sz w:val="21"/>
        </w:rPr>
        <w:t xml:space="preserve">• ai_analysis dict schema: </w:t>
      </w:r>
      <w:r>
        <w:rPr>
          <w:sz w:val="21"/>
        </w:rPr>
        <w:t>The v2 engine reads from nested keys (e.g. ai['forensic_indicators']['is_blurry']). The forensic_mapper.py must be updated to serialise ForensicAnalysis flat fields into these nested structures before calling verify_claim().</w:t>
      </w:r>
    </w:p>
    <w:p/>
    <w:p>
      <w:pPr>
        <w:ind w:left="0"/>
      </w:pPr>
      <w:r>
        <w:rPr>
          <w:b/>
          <w:i w:val="0"/>
          <w:sz w:val="21"/>
        </w:rPr>
        <w:t xml:space="preserve">• history parameter: </w:t>
      </w:r>
      <w:r>
        <w:rPr>
          <w:sz w:val="21"/>
        </w:rPr>
        <w:t>The new duplicate-guard check (16) requires the orchestrator to pass a list of prior claim dicts for the same user. This list should be fetched from the Claims table filtered by user_id and created_at within the last DUPLICATE_CLAIM_WINDOW_DAYS (default: 30 days).</w:t>
      </w:r>
    </w:p>
    <w:p/>
    <w:p>
      <w:pPr>
        <w:ind w:left="0"/>
      </w:pPr>
      <w:r>
        <w:rPr>
          <w:b/>
          <w:i w:val="0"/>
          <w:sz w:val="21"/>
        </w:rPr>
        <w:t xml:space="preserve">• multi_image_analysis key: </w:t>
      </w:r>
      <w:r>
        <w:rPr>
          <w:sz w:val="21"/>
        </w:rPr>
        <w:t>Check 12 reads ai['multi_image_analysis']. The orchestrator must aggregate individual image results (plates, lighting, damage location) across all uploaded images and populate this key before passing to the engine.</w:t>
      </w:r>
    </w:p>
    <w:p/>
    <w:p>
      <w:pPr>
        <w:ind w:left="0"/>
      </w:pPr>
      <w:r>
        <w:rPr>
          <w:b/>
          <w:i w:val="0"/>
          <w:sz w:val="21"/>
        </w:rPr>
        <w:t xml:space="preserve">• YOLO integration: </w:t>
      </w:r>
      <w:r>
        <w:rPr>
          <w:sz w:val="21"/>
        </w:rPr>
        <w:t>Check 9 reads ai['yolo_results']['yolo_damage_detected'] and yolo_severity. Both YOLO and Groq must complete before the rule engine runs. If either pipeline is skipped (e.g. YOLO offline), the check passes silently via YOLO_CORROBORATION_SKIPPED.</w:t>
      </w:r>
    </w:p>
    <w:p/>
    <w:p>
      <w:pPr>
        <w:ind w:left="0"/>
      </w:pPr>
      <w:r>
        <w:rPr>
          <w:b/>
          <w:i w:val="0"/>
          <w:sz w:val="21"/>
        </w:rPr>
        <w:t xml:space="preserve">• Policy data keys: </w:t>
      </w:r>
      <w:r>
        <w:rPr>
          <w:sz w:val="21"/>
        </w:rPr>
        <w:t>Check 15 requires policy.status, policy.start_date, policy.end_date, and policy.plan_coverage (or coverage_amount). Ensure the policy query in the orchestrator joins the PolicyPlan table to populate coverage_amount.</w:t>
      </w:r>
    </w:p>
    <w:p/>
    <w:p>
      <w:pPr>
        <w:ind w:left="0"/>
      </w:pPr>
      <w:r>
        <w:rPr>
          <w:b/>
          <w:i w:val="0"/>
          <w:sz w:val="21"/>
        </w:rPr>
        <w:t xml:space="preserve">• Backward compatibility: </w:t>
      </w:r>
      <w:r>
        <w:rPr>
          <w:sz w:val="21"/>
        </w:rPr>
        <w:t>All original rule IDs are preserved. Callers consuming failed_checks by rule_id will not break. New rule IDs are additive only.</w:t>
      </w:r>
    </w:p>
    <w:p/>
    <w:p>
      <w:pPr>
        <w:pStyle w:val="Heading1"/>
        <w:jc w:val="left"/>
      </w:pPr>
      <w:r>
        <w:rPr>
          <w:color w:val="1A355E"/>
        </w:rPr>
        <w:t>7. Configuration Reference (RuleConfig)</w:t>
      </w:r>
    </w:p>
    <w:p>
      <w:pPr>
        <w:ind w:left="0"/>
      </w:pPr>
      <w:r>
        <w:rPr>
          <w:b w:val="0"/>
          <w:i w:val="0"/>
          <w:sz w:val="21"/>
        </w:rPr>
        <w:t>All thresholds live in the RuleConfig dataclass. No logic changes are required to tune them.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85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Parameter</w:t>
            </w:r>
          </w:p>
        </w:tc>
        <w:tc>
          <w:tcPr>
            <w:tcW w:type="dxa" w:w="1814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Default</w:t>
            </w:r>
          </w:p>
        </w:tc>
        <w:tc>
          <w:tcPr>
            <w:tcW w:type="dxa" w:w="4309"/>
            <w:shd w:val="clear" w:color="auto" w:fill="D6E4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</w:tcPr>
          <w:p>
            <w:pPr>
              <w:jc w:val="center"/>
            </w:pPr>
            <w:r>
              <w:rPr>
                <w:b/>
                <w:color w:val="1A355E"/>
                <w:sz w:val="18"/>
              </w:rPr>
              <w:t>Purpose</w:t>
            </w:r>
          </w:p>
        </w:tc>
      </w:tr>
      <w:tr>
        <w:tc>
          <w:tcPr>
            <w:tcW w:type="dxa" w:w="368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AUTO_APPROVAL_AMOUNT_THRESHOLD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₹20,000</w:t>
            </w:r>
          </w:p>
        </w:tc>
        <w:tc>
          <w:tcPr>
            <w:tcW w:type="dxa" w:w="4309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Maximum claim for auto-approval path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MIN_VEHICLE_DETECTION_CONFIDENCE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0.85</w:t>
            </w:r>
          </w:p>
        </w:tc>
        <w:tc>
          <w:tcPr>
            <w:tcW w:type="dxa" w:w="430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Groq vehicle ID must exceed this</w:t>
            </w:r>
          </w:p>
        </w:tc>
      </w:tr>
      <w:tr>
        <w:tc>
          <w:tcPr>
            <w:tcW w:type="dxa" w:w="368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MIN_OCR_PLATE_CONFIDENCE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0.80</w:t>
            </w:r>
          </w:p>
        </w:tc>
        <w:tc>
          <w:tcPr>
            <w:tcW w:type="dxa" w:w="4309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EasyOCR plate read must exceed this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MIN_CHASE_NUMBER_CONFIDENCE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430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EasyOCR chase/VIN read must exceed this</w:t>
            </w:r>
          </w:p>
        </w:tc>
      </w:tr>
      <w:tr>
        <w:tc>
          <w:tcPr>
            <w:tcW w:type="dxa" w:w="368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AUTO_REJECT_SCORE_THRESHOLD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4309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Score ≥ 10 → auto-reject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FLAG_FOR_REVIEW_SCORE_THRESHOLD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30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Score ≥ 2 → flag for human review</w:t>
            </w:r>
          </w:p>
        </w:tc>
      </w:tr>
      <w:tr>
        <w:tc>
          <w:tcPr>
            <w:tcW w:type="dxa" w:w="368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STOCK_PHOTO_REJECT_LEVELS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high, very_high</w:t>
            </w:r>
          </w:p>
        </w:tc>
        <w:tc>
          <w:tcPr>
            <w:tcW w:type="dxa" w:w="4309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Stock-photo likelihood levels that trigger CRITICAL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MAX_CLAIM_TO_ESTIMATE_RATIO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430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Claim / AI-max-estimate ratio ceiling</w:t>
            </w:r>
          </w:p>
        </w:tc>
      </w:tr>
      <w:tr>
        <w:tc>
          <w:tcPr>
            <w:tcW w:type="dxa" w:w="368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DUPLICATE_CLAIM_WINDOW_DAYS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4309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Days to look back for duplicate plate/policy claims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COMPOUND_FAILURE_THRESHOLD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30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Min CRITICAL+HIGH failures to trigger compounding</w:t>
            </w:r>
          </w:p>
        </w:tc>
      </w:tr>
      <w:tr>
        <w:tc>
          <w:tcPr>
            <w:tcW w:type="dxa" w:w="3685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COMPOUND_MULTIPLIER</w:t>
            </w:r>
          </w:p>
        </w:tc>
        <w:tc>
          <w:tcPr>
            <w:tcW w:type="dxa" w:w="1814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4309"/>
            <w:shd w:val="clear" w:color="auto" w:fill="EBF3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Score multiplier when compounding threshold is met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YOLO_AI_SEVERITY_MISMATCH_PENALTY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30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7"/>
              </w:rPr>
              <w:t>Raw score penalty added on YOLO vs AI severity gap</w:t>
            </w:r>
          </w:p>
        </w:tc>
      </w:tr>
    </w:tbl>
    <w:p/>
    <w:p>
      <w:pPr>
        <w:pStyle w:val="Heading1"/>
        <w:jc w:val="left"/>
      </w:pPr>
      <w:r>
        <w:rPr>
          <w:color w:val="1A355E"/>
        </w:rPr>
        <w:t>8. Recommended Next Steps</w:t>
      </w:r>
    </w:p>
    <w:p>
      <w:pPr>
        <w:ind w:left="0"/>
      </w:pPr>
      <w:r>
        <w:rPr>
          <w:b/>
          <w:i w:val="0"/>
          <w:sz w:val="21"/>
        </w:rPr>
        <w:t>1.  Update forensic_mapper.py</w:t>
      </w:r>
    </w:p>
    <w:p>
      <w:pPr>
        <w:ind w:left="0"/>
      </w:pPr>
      <w:r>
        <w:rPr>
          <w:b w:val="0"/>
          <w:i w:val="0"/>
          <w:sz w:val="21"/>
        </w:rPr>
        <w:t xml:space="preserve">     Serialise all flat ForensicAnalysis fields into the nested ai_analysis dict structure expected by v2 checks (forensic_indicators, damage_assessment, yolo_results keys).</w:t>
      </w:r>
    </w:p>
    <w:p/>
    <w:p>
      <w:pPr>
        <w:ind w:left="0"/>
      </w:pPr>
      <w:r>
        <w:rPr>
          <w:b/>
          <w:i w:val="0"/>
          <w:sz w:val="21"/>
        </w:rPr>
        <w:t>2.  Integrate multi-image aggregation</w:t>
      </w:r>
    </w:p>
    <w:p>
      <w:pPr>
        <w:ind w:left="0"/>
      </w:pPr>
      <w:r>
        <w:rPr>
          <w:b w:val="0"/>
          <w:i w:val="0"/>
          <w:sz w:val="21"/>
        </w:rPr>
        <w:t xml:space="preserve">     Add an aggregation step in ai_orchestrator.py that compares results across all uploaded images and populates the multi_image_analysis key before calling the rule engine.</w:t>
      </w:r>
    </w:p>
    <w:p/>
    <w:p>
      <w:pPr>
        <w:ind w:left="0"/>
      </w:pPr>
      <w:r>
        <w:rPr>
          <w:b/>
          <w:i w:val="0"/>
          <w:sz w:val="21"/>
        </w:rPr>
        <w:t>3.  Wire claims history</w:t>
      </w:r>
    </w:p>
    <w:p>
      <w:pPr>
        <w:ind w:left="0"/>
      </w:pPr>
      <w:r>
        <w:rPr>
          <w:b w:val="0"/>
          <w:i w:val="0"/>
          <w:sz w:val="21"/>
        </w:rPr>
        <w:t xml:space="preserve">     In the claim submission handler, fetch the user's prior claims and pass as history= parameter to verify_claim(). Filter by created_at within DUPLICATE_CLAIM_WINDOW_DAYS.</w:t>
      </w:r>
    </w:p>
    <w:p/>
    <w:p>
      <w:pPr>
        <w:ind w:left="0"/>
      </w:pPr>
      <w:r>
        <w:rPr>
          <w:b/>
          <w:i w:val="0"/>
          <w:sz w:val="21"/>
        </w:rPr>
        <w:t>4.  Policy join</w:t>
      </w:r>
    </w:p>
    <w:p>
      <w:pPr>
        <w:ind w:left="0"/>
      </w:pPr>
      <w:r>
        <w:rPr>
          <w:b w:val="0"/>
          <w:i w:val="0"/>
          <w:sz w:val="21"/>
        </w:rPr>
        <w:t xml:space="preserve">     Ensure the orchestrator SQL query joins policies → policy_plans to populate coverage_amount.</w:t>
      </w:r>
    </w:p>
    <w:p/>
    <w:p>
      <w:pPr>
        <w:ind w:left="0"/>
      </w:pPr>
      <w:r>
        <w:rPr>
          <w:b/>
          <w:i w:val="0"/>
          <w:sz w:val="21"/>
        </w:rPr>
        <w:t>5.  Tune cost-sanity thresholds</w:t>
      </w:r>
    </w:p>
    <w:p>
      <w:pPr>
        <w:ind w:left="0"/>
      </w:pPr>
      <w:r>
        <w:rPr>
          <w:b w:val="0"/>
          <w:i w:val="0"/>
          <w:sz w:val="21"/>
        </w:rPr>
        <w:t xml:space="preserve">     Review historical approved claims to calibrate MAX_CLAIM_TO_ESTIMATE_RATIO. Start conservative (2.0×) and lower after reviewing false-positive rates.</w:t>
      </w:r>
    </w:p>
    <w:p/>
    <w:p>
      <w:pPr>
        <w:ind w:left="0"/>
      </w:pPr>
      <w:r>
        <w:rPr>
          <w:b/>
          <w:i w:val="0"/>
          <w:sz w:val="21"/>
        </w:rPr>
        <w:t>6.  Regression test suite</w:t>
      </w:r>
    </w:p>
    <w:p>
      <w:pPr>
        <w:ind w:left="0"/>
      </w:pPr>
      <w:r>
        <w:rPr>
          <w:b w:val="0"/>
          <w:i w:val="0"/>
          <w:sz w:val="21"/>
        </w:rPr>
        <w:t xml:space="preserve">     Run the existing unit tests with the v2 engine. Add test cases for all 8 new rules with both pass and fail scenarios, including the compounding multiplier edge cases.</w:t>
      </w:r>
    </w:p>
    <w:p/>
    <w:p>
      <w:pPr>
        <w:ind w:left="0"/>
      </w:pPr>
      <w:r>
        <w:rPr>
          <w:b/>
          <w:i w:val="0"/>
          <w:sz w:val="21"/>
        </w:rPr>
        <w:t>7.  Agent dashboard uplift</w:t>
      </w:r>
    </w:p>
    <w:p>
      <w:pPr>
        <w:ind w:left="0"/>
      </w:pPr>
      <w:r>
        <w:rPr>
          <w:b w:val="0"/>
          <w:i w:val="0"/>
          <w:sz w:val="21"/>
        </w:rPr>
        <w:t xml:space="preserve">     Expose the new confidence_score and phase labels in the Agent Dashboard claim detail view so agents can quickly see which verification phase triggered the flag.</w:t>
      </w:r>
    </w:p>
    <w:p/>
    <w:p>
      <w:pPr>
        <w:ind w:left="0"/>
      </w:pPr>
      <w:r>
        <w:rPr>
          <w:b w:val="0"/>
          <w:i/>
          <w:color w:val="808080"/>
          <w:sz w:val="18"/>
        </w:rPr>
        <w:t>AutoClaim v2.0  |  Rule Engine Analysis  |  All decisions are deterministic and auditable.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