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6B4EF" w14:textId="77777777" w:rsidR="00B91543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GLAXIT</w:t>
      </w:r>
    </w:p>
    <w:p w14:paraId="5B2800A6" w14:textId="77777777" w:rsidR="00B91543" w:rsidRDefault="00000000"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>MERN Stack Internship — Daily Progress Report</w:t>
      </w:r>
    </w:p>
    <w:p w14:paraId="28ADD99E" w14:textId="77777777" w:rsidR="00B91543" w:rsidRDefault="00000000">
      <w:pPr>
        <w:pBdr>
          <w:bottom w:val="single" w:sz="12" w:space="6" w:color="1F4E79"/>
        </w:pBdr>
        <w:spacing w:after="300"/>
        <w:jc w:val="center"/>
      </w:pPr>
      <w:r>
        <w:rPr>
          <w:b/>
          <w:bCs/>
          <w:color w:val="2E75B6"/>
          <w:sz w:val="30"/>
          <w:szCs w:val="30"/>
        </w:rPr>
        <w:t>Day 3: Scalable CSS &amp; Architecture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B91543" w14:paraId="6CB15B7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8238CC" w14:textId="77777777" w:rsidR="00B91543" w:rsidRDefault="00000000">
            <w:r>
              <w:rPr>
                <w:b/>
                <w:bCs/>
                <w:color w:val="1F4E79"/>
                <w:sz w:val="21"/>
                <w:szCs w:val="21"/>
              </w:rPr>
              <w:t>Intern Name</w:t>
            </w:r>
          </w:p>
        </w:tc>
        <w:tc>
          <w:tcPr>
            <w:tcW w:w="625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C9BF02" w14:textId="77777777" w:rsidR="00B91543" w:rsidRDefault="00000000">
            <w:r>
              <w:rPr>
                <w:color w:val="333333"/>
                <w:sz w:val="21"/>
                <w:szCs w:val="21"/>
              </w:rPr>
              <w:t>Basim Ali</w:t>
            </w:r>
          </w:p>
        </w:tc>
      </w:tr>
      <w:tr w:rsidR="00B91543" w14:paraId="6B4F66A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0F80E1" w14:textId="77777777" w:rsidR="00B91543" w:rsidRDefault="00000000">
            <w:r>
              <w:rPr>
                <w:b/>
                <w:bCs/>
                <w:color w:val="1F4E79"/>
                <w:sz w:val="21"/>
                <w:szCs w:val="21"/>
              </w:rPr>
              <w:t>Company</w:t>
            </w:r>
          </w:p>
        </w:tc>
        <w:tc>
          <w:tcPr>
            <w:tcW w:w="625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D03A0A" w14:textId="77777777" w:rsidR="00B91543" w:rsidRDefault="00000000">
            <w:proofErr w:type="spellStart"/>
            <w:r>
              <w:rPr>
                <w:color w:val="333333"/>
                <w:sz w:val="21"/>
                <w:szCs w:val="21"/>
              </w:rPr>
              <w:t>Glaxit</w:t>
            </w:r>
            <w:proofErr w:type="spellEnd"/>
            <w:r>
              <w:rPr>
                <w:color w:val="333333"/>
                <w:sz w:val="21"/>
                <w:szCs w:val="21"/>
              </w:rPr>
              <w:t>, Taxila</w:t>
            </w:r>
          </w:p>
        </w:tc>
      </w:tr>
      <w:tr w:rsidR="00B91543" w14:paraId="685D8FB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22DAE7" w14:textId="77777777" w:rsidR="00B91543" w:rsidRDefault="00000000">
            <w:r>
              <w:rPr>
                <w:b/>
                <w:bCs/>
                <w:color w:val="1F4E79"/>
                <w:sz w:val="21"/>
                <w:szCs w:val="21"/>
              </w:rPr>
              <w:t>Program</w:t>
            </w:r>
          </w:p>
        </w:tc>
        <w:tc>
          <w:tcPr>
            <w:tcW w:w="625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34CB07" w14:textId="77777777" w:rsidR="00B91543" w:rsidRDefault="00000000">
            <w:r>
              <w:rPr>
                <w:color w:val="333333"/>
                <w:sz w:val="21"/>
                <w:szCs w:val="21"/>
              </w:rPr>
              <w:t>MERN Stack Internship</w:t>
            </w:r>
          </w:p>
        </w:tc>
      </w:tr>
      <w:tr w:rsidR="00B91543" w14:paraId="37D57BE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5FB7A5" w14:textId="77777777" w:rsidR="00B91543" w:rsidRDefault="00000000">
            <w:r>
              <w:rPr>
                <w:b/>
                <w:bCs/>
                <w:color w:val="1F4E79"/>
                <w:sz w:val="21"/>
                <w:szCs w:val="21"/>
              </w:rPr>
              <w:t>Day</w:t>
            </w:r>
          </w:p>
        </w:tc>
        <w:tc>
          <w:tcPr>
            <w:tcW w:w="625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15366B" w14:textId="77777777" w:rsidR="00B91543" w:rsidRDefault="00000000">
            <w:r>
              <w:rPr>
                <w:color w:val="333333"/>
                <w:sz w:val="21"/>
                <w:szCs w:val="21"/>
              </w:rPr>
              <w:t>Day 3</w:t>
            </w:r>
          </w:p>
        </w:tc>
      </w:tr>
      <w:tr w:rsidR="00B91543" w14:paraId="04D4E22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FA012" w14:textId="77777777" w:rsidR="00B91543" w:rsidRDefault="00000000">
            <w:r>
              <w:rPr>
                <w:b/>
                <w:bCs/>
                <w:color w:val="1F4E79"/>
                <w:sz w:val="21"/>
                <w:szCs w:val="21"/>
              </w:rPr>
              <w:t>Topic</w:t>
            </w:r>
          </w:p>
        </w:tc>
        <w:tc>
          <w:tcPr>
            <w:tcW w:w="625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C80C5" w14:textId="77777777" w:rsidR="00B91543" w:rsidRDefault="00000000">
            <w:r>
              <w:rPr>
                <w:color w:val="333333"/>
                <w:sz w:val="21"/>
                <w:szCs w:val="21"/>
              </w:rPr>
              <w:t>Scalable CSS &amp; Architecture (CSS Variables &amp; BEM)</w:t>
            </w:r>
          </w:p>
        </w:tc>
      </w:tr>
      <w:tr w:rsidR="00B91543" w14:paraId="399E704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AF1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F5C5AA" w14:textId="77777777" w:rsidR="00B91543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625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AD0B7B" w14:textId="64851FBB" w:rsidR="00B91543" w:rsidRDefault="00043BC2">
            <w:r>
              <w:rPr>
                <w:color w:val="333333"/>
                <w:sz w:val="21"/>
                <w:szCs w:val="21"/>
              </w:rPr>
              <w:t>8-Jul-2026</w:t>
            </w:r>
          </w:p>
        </w:tc>
      </w:tr>
    </w:tbl>
    <w:p w14:paraId="0E466B14" w14:textId="77777777" w:rsidR="00B91543" w:rsidRDefault="00000000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1. Topics Studied</w:t>
      </w:r>
    </w:p>
    <w:p w14:paraId="3E86877A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•  CSS Custom Properties (variables): declaration with -- prefix, scope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via :root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, and usage with the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var(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>) function.</w:t>
      </w:r>
    </w:p>
    <w:p w14:paraId="4A08296A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>•  Benefits of CSS variables for maintaining a consistent design system (single source of truth for colors, spacing, fonts).</w:t>
      </w:r>
    </w:p>
    <w:p w14:paraId="36299609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>•  BEM (Block, Element, Modifier) methodology for writing scalable and maintainable CSS in large projects.</w:t>
      </w:r>
    </w:p>
    <w:p w14:paraId="746D9887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>•  BEM naming syntax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: .block, .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block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>__element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,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and .block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>--modifier.</w:t>
      </w:r>
    </w:p>
    <w:p w14:paraId="2B817B44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>•  Avoiding deep nesting and specificity conflicts by adopting a flat, component-based class structure.</w:t>
      </w:r>
    </w:p>
    <w:p w14:paraId="21629BDF" w14:textId="77777777" w:rsidR="00B91543" w:rsidRDefault="00000000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2. Task Performed</w:t>
      </w:r>
    </w:p>
    <w:p w14:paraId="5F028E61" w14:textId="77777777" w:rsidR="00B91543" w:rsidRDefault="00000000">
      <w:pPr>
        <w:spacing w:after="120"/>
      </w:pPr>
      <w:r>
        <w:rPr>
          <w:rFonts w:ascii="Calibri" w:eastAsia="Calibri" w:hAnsi="Calibri" w:cs="Calibri"/>
          <w:color w:val="333333"/>
          <w:sz w:val="22"/>
          <w:szCs w:val="22"/>
        </w:rPr>
        <w:t>Refactored the CSS from previous tasks (portfolio website and number base converter UI) using strict BEM naming conventions. Introduced a root-level brand color palette using CSS custom properties, covering primary, secondary, accent, and neutral tones, and replaced all hard-coded color values throughout the stylesheets with references to these variables.</w:t>
      </w:r>
    </w:p>
    <w:p w14:paraId="001D0D50" w14:textId="77777777" w:rsidR="00B91543" w:rsidRDefault="00000000">
      <w:pPr>
        <w:spacing w:after="120"/>
      </w:pPr>
      <w:r>
        <w:rPr>
          <w:rFonts w:ascii="Calibri" w:eastAsia="Calibri" w:hAnsi="Calibri" w:cs="Calibri"/>
          <w:color w:val="333333"/>
          <w:sz w:val="22"/>
          <w:szCs w:val="22"/>
        </w:rPr>
        <w:t>Key steps carried out:</w:t>
      </w:r>
    </w:p>
    <w:p w14:paraId="75946304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•  Defined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a :root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block with variables for primary, secondary, accent, and neutral (background/text/border) colors.</w:t>
      </w:r>
    </w:p>
    <w:p w14:paraId="58A7900E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•  Renamed existing classes to follow the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Block__Element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--Modifier pattern (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e.g. .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card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>__title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, .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nav__link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--active).</w:t>
      </w:r>
    </w:p>
    <w:p w14:paraId="2F4E5E33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>•  Removed nested/overly specific selectors in favor of single, flat BEM class selectors.</w:t>
      </w:r>
    </w:p>
    <w:p w14:paraId="6C80A0B1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•  Replaced all literal color codes (hex values) in the stylesheet with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var(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>--variable-name) references.</w:t>
      </w:r>
    </w:p>
    <w:p w14:paraId="1DA1A229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>•  Verified that visual appearance remained unchanged after refactoring, confirming the CSS variables and BEM classes were mapped correctly.</w:t>
      </w:r>
    </w:p>
    <w:p w14:paraId="5CD6BC1C" w14:textId="77777777" w:rsidR="00B91543" w:rsidRDefault="00000000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3. Code Screenshots</w:t>
      </w:r>
    </w:p>
    <w:p w14:paraId="34FB675F" w14:textId="77777777" w:rsidR="00B91543" w:rsidRDefault="00000000">
      <w:pPr>
        <w:spacing w:after="120"/>
      </w:pP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:root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variable declarations — brand color palette:</w:t>
      </w:r>
    </w:p>
    <w:p w14:paraId="1A9CD4CB" w14:textId="3E654EEC" w:rsidR="00B91543" w:rsidRDefault="0003770F">
      <w:pPr>
        <w:spacing w:after="200"/>
      </w:pPr>
      <w:r w:rsidRPr="0003770F">
        <w:lastRenderedPageBreak/>
        <w:drawing>
          <wp:inline distT="0" distB="0" distL="0" distR="0" wp14:anchorId="4F9182DC" wp14:editId="06DE9A7A">
            <wp:extent cx="6400800" cy="3297555"/>
            <wp:effectExtent l="0" t="0" r="0" b="0"/>
            <wp:docPr id="205141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18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379B" w14:textId="77777777" w:rsidR="00B91543" w:rsidRDefault="00000000">
      <w:pPr>
        <w:spacing w:after="120"/>
      </w:pPr>
      <w:r>
        <w:rPr>
          <w:rFonts w:ascii="Calibri" w:eastAsia="Calibri" w:hAnsi="Calibri" w:cs="Calibri"/>
          <w:color w:val="333333"/>
          <w:sz w:val="22"/>
          <w:szCs w:val="22"/>
        </w:rPr>
        <w:t>Refactored HTML with BEM class naming applied:</w:t>
      </w:r>
    </w:p>
    <w:p w14:paraId="757DD399" w14:textId="026329B5" w:rsidR="00B91543" w:rsidRDefault="000070AF">
      <w:pPr>
        <w:spacing w:after="200"/>
      </w:pPr>
      <w:r w:rsidRPr="000070AF">
        <w:drawing>
          <wp:inline distT="0" distB="0" distL="0" distR="0" wp14:anchorId="3143B6CF" wp14:editId="7C600EA6">
            <wp:extent cx="6400800" cy="3380105"/>
            <wp:effectExtent l="0" t="0" r="0" b="0"/>
            <wp:docPr id="200260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02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8353" w14:textId="77777777" w:rsidR="00B91543" w:rsidRDefault="00000000">
      <w:pPr>
        <w:spacing w:after="12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Refactored CSS using BEM selectors and </w:t>
      </w:r>
      <w:proofErr w:type="gramStart"/>
      <w:r>
        <w:rPr>
          <w:rFonts w:ascii="Calibri" w:eastAsia="Calibri" w:hAnsi="Calibri" w:cs="Calibri"/>
          <w:color w:val="333333"/>
          <w:sz w:val="22"/>
          <w:szCs w:val="22"/>
        </w:rPr>
        <w:t>var(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>) references:</w:t>
      </w:r>
    </w:p>
    <w:p w14:paraId="35E0AB1E" w14:textId="11569740" w:rsidR="00B91543" w:rsidRDefault="00255EEE">
      <w:pPr>
        <w:spacing w:after="200"/>
      </w:pPr>
      <w:r w:rsidRPr="00255EEE">
        <w:lastRenderedPageBreak/>
        <w:drawing>
          <wp:inline distT="0" distB="0" distL="0" distR="0" wp14:anchorId="41F51F95" wp14:editId="10F575C4">
            <wp:extent cx="6400800" cy="3286760"/>
            <wp:effectExtent l="0" t="0" r="0" b="8890"/>
            <wp:docPr id="163817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71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B091" w14:textId="77777777" w:rsidR="00B91543" w:rsidRDefault="00000000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4. Key Learnings</w:t>
      </w:r>
    </w:p>
    <w:p w14:paraId="546E9898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>•  CSS variables centralize theme values, making future rebranding or theme changes a one-line edit instead of a project-wide find-and-replace.</w:t>
      </w:r>
    </w:p>
    <w:p w14:paraId="31E0EAF8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>•  BEM naming removes ambiguity about what a class does and where it can safely be reused, which scales well in larger codebases.</w:t>
      </w:r>
    </w:p>
    <w:p w14:paraId="1CA2E737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>•  Flat BEM selectors reduce specificity conflicts and make CSS easier to override predictably.</w:t>
      </w:r>
    </w:p>
    <w:p w14:paraId="308CE885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>•  A documented naming convention improves collaboration, since any team member can infer a class's role directly from its name.</w:t>
      </w:r>
    </w:p>
    <w:p w14:paraId="28C1115B" w14:textId="77777777" w:rsidR="00B91543" w:rsidRDefault="00000000">
      <w:pPr>
        <w:pBdr>
          <w:bottom w:val="single" w:sz="6" w:space="4" w:color="2E75B6"/>
        </w:pBdr>
        <w:spacing w:before="300" w:after="15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5. Challenges Faced</w:t>
      </w:r>
    </w:p>
    <w:p w14:paraId="11C39E23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>•  Deciding consistent Block boundaries for existing markup that was not originally structured with BEM in mind.</w:t>
      </w:r>
    </w:p>
    <w:p w14:paraId="18966289" w14:textId="77777777" w:rsidR="00B91543" w:rsidRDefault="00000000">
      <w:pPr>
        <w:spacing w:after="80"/>
        <w:ind w:left="360"/>
      </w:pPr>
      <w:r>
        <w:rPr>
          <w:rFonts w:ascii="Calibri" w:eastAsia="Calibri" w:hAnsi="Calibri" w:cs="Calibri"/>
          <w:color w:val="333333"/>
          <w:sz w:val="22"/>
          <w:szCs w:val="22"/>
        </w:rPr>
        <w:t>•  Ensuring no visual regressions occurred while renaming classes and swapping hard-coded colors for variables.</w:t>
      </w:r>
    </w:p>
    <w:p w14:paraId="56800D42" w14:textId="3783B29D" w:rsidR="00B91543" w:rsidRDefault="00B91543">
      <w:pPr>
        <w:spacing w:after="120"/>
      </w:pPr>
    </w:p>
    <w:sectPr w:rsidR="00B91543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40EEA"/>
    <w:multiLevelType w:val="hybridMultilevel"/>
    <w:tmpl w:val="039A77E2"/>
    <w:lvl w:ilvl="0" w:tplc="BF8AC400">
      <w:start w:val="1"/>
      <w:numFmt w:val="bullet"/>
      <w:lvlText w:val="●"/>
      <w:lvlJc w:val="left"/>
      <w:pPr>
        <w:ind w:left="720" w:hanging="360"/>
      </w:pPr>
    </w:lvl>
    <w:lvl w:ilvl="1" w:tplc="E1B80E40">
      <w:start w:val="1"/>
      <w:numFmt w:val="bullet"/>
      <w:lvlText w:val="○"/>
      <w:lvlJc w:val="left"/>
      <w:pPr>
        <w:ind w:left="1440" w:hanging="360"/>
      </w:pPr>
    </w:lvl>
    <w:lvl w:ilvl="2" w:tplc="06703708">
      <w:start w:val="1"/>
      <w:numFmt w:val="bullet"/>
      <w:lvlText w:val="■"/>
      <w:lvlJc w:val="left"/>
      <w:pPr>
        <w:ind w:left="2160" w:hanging="360"/>
      </w:pPr>
    </w:lvl>
    <w:lvl w:ilvl="3" w:tplc="BF18B114">
      <w:start w:val="1"/>
      <w:numFmt w:val="bullet"/>
      <w:lvlText w:val="●"/>
      <w:lvlJc w:val="left"/>
      <w:pPr>
        <w:ind w:left="2880" w:hanging="360"/>
      </w:pPr>
    </w:lvl>
    <w:lvl w:ilvl="4" w:tplc="F26830FE">
      <w:start w:val="1"/>
      <w:numFmt w:val="bullet"/>
      <w:lvlText w:val="○"/>
      <w:lvlJc w:val="left"/>
      <w:pPr>
        <w:ind w:left="3600" w:hanging="360"/>
      </w:pPr>
    </w:lvl>
    <w:lvl w:ilvl="5" w:tplc="C7383228">
      <w:start w:val="1"/>
      <w:numFmt w:val="bullet"/>
      <w:lvlText w:val="■"/>
      <w:lvlJc w:val="left"/>
      <w:pPr>
        <w:ind w:left="4320" w:hanging="360"/>
      </w:pPr>
    </w:lvl>
    <w:lvl w:ilvl="6" w:tplc="B62E966E">
      <w:start w:val="1"/>
      <w:numFmt w:val="bullet"/>
      <w:lvlText w:val="●"/>
      <w:lvlJc w:val="left"/>
      <w:pPr>
        <w:ind w:left="5040" w:hanging="360"/>
      </w:pPr>
    </w:lvl>
    <w:lvl w:ilvl="7" w:tplc="9036D52E">
      <w:start w:val="1"/>
      <w:numFmt w:val="bullet"/>
      <w:lvlText w:val="●"/>
      <w:lvlJc w:val="left"/>
      <w:pPr>
        <w:ind w:left="5760" w:hanging="360"/>
      </w:pPr>
    </w:lvl>
    <w:lvl w:ilvl="8" w:tplc="F202F22A">
      <w:start w:val="1"/>
      <w:numFmt w:val="bullet"/>
      <w:lvlText w:val="●"/>
      <w:lvlJc w:val="left"/>
      <w:pPr>
        <w:ind w:left="6480" w:hanging="360"/>
      </w:pPr>
    </w:lvl>
  </w:abstractNum>
  <w:num w:numId="1" w16cid:durableId="14520171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543"/>
    <w:rsid w:val="000070AF"/>
    <w:rsid w:val="0003770F"/>
    <w:rsid w:val="00043BC2"/>
    <w:rsid w:val="000C5C5D"/>
    <w:rsid w:val="00255EEE"/>
    <w:rsid w:val="00937832"/>
    <w:rsid w:val="00B9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0A58"/>
  <w15:docId w15:val="{E3EF51BC-860E-42F3-8281-DBE2CF05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Basim Ali</cp:lastModifiedBy>
  <cp:revision>16</cp:revision>
  <dcterms:created xsi:type="dcterms:W3CDTF">2026-07-08T09:37:00Z</dcterms:created>
  <dcterms:modified xsi:type="dcterms:W3CDTF">2026-07-08T09:42:00Z</dcterms:modified>
</cp:coreProperties>
</file>