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bCs w:val="1"/>
          <w:sz w:val="30"/>
          <w:szCs w:val="30"/>
          <w:rtl w:val="0"/>
        </w:rPr>
        <w:t xml:space="preserve">CENTURION UNIVERSITY OF TECHNOLOGY AND MANAGEMENT</w:t>
      </w:r>
      <w:r w:rsidDel="00000000" w:rsidR="00000000" w:rsidRPr="00000000">
        <w:rPr>
          <w:rtl w:val="0"/>
        </w:rPr>
      </w:r>
    </w:p>
    <w:p w:rsidR="00000000" w:rsidDel="00000000" w:rsidP="00000000" w:rsidRDefault="00000000" w:rsidRPr="00000000" w14:paraId="00000002">
      <w:pPr>
        <w:spacing w:after="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ALR DIGITISATION PLATFORM - COMPILED REVIEW</w:t>
      </w:r>
      <w:r w:rsidDel="00000000" w:rsidR="00000000" w:rsidRPr="00000000">
        <w:rPr>
          <w:rtl w:val="0"/>
        </w:rPr>
      </w:r>
    </w:p>
    <w:p w:rsidR="00000000" w:rsidDel="00000000" w:rsidP="00000000" w:rsidRDefault="00000000" w:rsidRPr="00000000" w14:paraId="00000003">
      <w:pPr>
        <w:spacing w:after="3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Consolidating the Platform Review, the Project/Internship/Thesis/Plagiarism, and the official Learning Record Framework into one prioritized set of recommendations</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Fonts w:ascii="Times New Roman" w:cs="Times New Roman" w:eastAsia="Times New Roman" w:hAnsi="Times New Roman"/>
          <w:b w:val="1"/>
          <w:bCs w:val="1"/>
          <w:sz w:val="24"/>
          <w:szCs w:val="24"/>
          <w:rtl w:val="0"/>
        </w:rPr>
        <w:t xml:space="preserve">1. Documents Consolidated in This Review</w:t>
      </w:r>
      <w:r w:rsidDel="00000000" w:rsidR="00000000" w:rsidRPr="00000000">
        <w:rPr>
          <w:rtl w:val="0"/>
        </w:rPr>
      </w:r>
    </w:p>
    <w:tbl>
      <w:tblPr>
        <w:tblStyle w:val="Table1"/>
        <w:tblW w:w="920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009"/>
        <w:tblGridChange w:id="0">
          <w:tblGrid>
            <w:gridCol w:w="3200"/>
            <w:gridCol w:w="6009"/>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it covers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Six hardcopy LR booklets</w:t>
            </w:r>
          </w:p>
        </w:tc>
        <w:tc>
          <w:tcPr>
            <w:tcMar>
              <w:top w:w="80.0" w:type="dxa"/>
              <w:left w:w="100.0" w:type="dxa"/>
              <w:bottom w:w="80.0" w:type="dxa"/>
              <w:right w:w="100.0" w:type="dxa"/>
            </w:tcMar>
          </w:tcPr>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Practice, Programming Practice, Workshop/Production Unit, Annual (Theory), Annual (Practice) — the mandated paper baseline.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ALR Platform Review</w:t>
            </w:r>
          </w:p>
        </w:tc>
        <w:tc>
          <w:tcPr>
            <w:tcMar>
              <w:top w:w="80.0" w:type="dxa"/>
              <w:left w:w="100.0" w:type="dxa"/>
              <w:bottom w:w="80.0" w:type="dxa"/>
              <w:right w:w="100.0" w:type="dxa"/>
            </w:tcMar>
          </w:tcPr>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Screen-by-screen comparison of the live platform against the six booklets; findings a–k plus low-priority polish items.</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 Internship / Thesis / Plagiarism</w:t>
            </w:r>
          </w:p>
        </w:tc>
        <w:tc>
          <w:tcPr>
            <w:tcMar>
              <w:top w:w="80.0" w:type="dxa"/>
              <w:left w:w="100.0" w:type="dxa"/>
              <w:bottom w:w="80.0" w:type="dxa"/>
              <w:right w:w="100.0" w:type="dxa"/>
            </w:tcMar>
          </w:tcPr>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Extends the review to Major/Capstone deliverables and the university Plagiarism Policy; findings a–l plus a suggested schema.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Record Framework</w:t>
            </w:r>
          </w:p>
        </w:tc>
        <w:tc>
          <w:tcPr>
            <w:tcMar>
              <w:top w:w="80.0" w:type="dxa"/>
              <w:left w:w="100.0" w:type="dxa"/>
              <w:bottom w:w="80.0" w:type="dxa"/>
              <w:right w:w="100.0" w:type="dxa"/>
            </w:tcMar>
          </w:tcPr>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university's own policy: 12 subject-to-record mappings, frequency tiers, marks weightage, and post-program credit scheme.</w:t>
            </w:r>
          </w:p>
        </w:tc>
      </w:tr>
    </w:tbl>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Fonts w:ascii="Times New Roman" w:cs="Times New Roman" w:eastAsia="Times New Roman" w:hAnsi="Times New Roman"/>
          <w:b w:val="1"/>
          <w:bCs w:val="1"/>
          <w:sz w:val="24"/>
          <w:szCs w:val="24"/>
          <w:rtl w:val="0"/>
        </w:rPr>
        <w:t xml:space="preserve">2. What the Learning Record Framework Confirms </w:t>
      </w:r>
      <w:r w:rsidDel="00000000" w:rsidR="00000000" w:rsidRPr="00000000">
        <w:rPr>
          <w:rtl w:val="0"/>
        </w:rPr>
      </w:r>
    </w:p>
    <w:p w:rsidR="00000000" w:rsidDel="00000000" w:rsidP="00000000" w:rsidRDefault="00000000" w:rsidRPr="00000000" w14:paraId="00000011">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lists twelve subject configurations — Theory, MOOC, Practice, Workshop, Project, Thesis, Internship, and five combinations of these — each mapped to one or more required record types. Critically, several combinations require more than one record type to be filed against the same subject in the same term:</w:t>
      </w:r>
    </w:p>
    <w:tbl>
      <w:tblPr>
        <w:tblStyle w:val="Table2"/>
        <w:tblW w:w="94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5893"/>
        <w:tblGridChange w:id="0">
          <w:tblGrid>
            <w:gridCol w:w="3600"/>
            <w:gridCol w:w="5893"/>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Subject type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Record(s) required</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 MOOC</w:t>
            </w:r>
          </w:p>
        </w:tc>
        <w:tc>
          <w:tcPr>
            <w:tcMar>
              <w:top w:w="80.0" w:type="dxa"/>
              <w:left w:w="100.0" w:type="dxa"/>
              <w:bottom w:w="80.0" w:type="dxa"/>
              <w:right w:w="100.0" w:type="dxa"/>
            </w:tcMar>
          </w:tcPr>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of Classroom Learning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w:t>
            </w:r>
          </w:p>
        </w:tc>
        <w:tc>
          <w:tcPr>
            <w:tcMar>
              <w:top w:w="80.0" w:type="dxa"/>
              <w:left w:w="100.0" w:type="dxa"/>
              <w:bottom w:w="80.0" w:type="dxa"/>
              <w:right w:w="100.0" w:type="dxa"/>
            </w:tcMar>
          </w:tcPr>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of Applied and Action Learning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Workshop / Production Unit</w:t>
            </w:r>
          </w:p>
        </w:tc>
        <w:tc>
          <w:tcPr>
            <w:tcMar>
              <w:top w:w="80.0" w:type="dxa"/>
              <w:left w:w="100.0" w:type="dxa"/>
              <w:bottom w:w="80.0" w:type="dxa"/>
              <w:right w:w="100.0" w:type="dxa"/>
            </w:tcMar>
          </w:tcPr>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of Action Learning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w:t>
            </w:r>
          </w:p>
        </w:tc>
        <w:tc>
          <w:tcPr>
            <w:tcMar>
              <w:top w:w="80.0" w:type="dxa"/>
              <w:left w:w="100.0" w:type="dxa"/>
              <w:bottom w:w="80.0" w:type="dxa"/>
              <w:right w:w="100.0" w:type="dxa"/>
            </w:tcMar>
          </w:tcPr>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Report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w:t>
            </w:r>
          </w:p>
        </w:tc>
        <w:tc>
          <w:tcPr>
            <w:tcMar>
              <w:top w:w="80.0" w:type="dxa"/>
              <w:left w:w="100.0" w:type="dxa"/>
              <w:bottom w:w="80.0" w:type="dxa"/>
              <w:right w:w="100.0" w:type="dxa"/>
            </w:tcMar>
          </w:tcPr>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Report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Internship</w:t>
            </w:r>
          </w:p>
        </w:tc>
        <w:tc>
          <w:tcPr>
            <w:tcMar>
              <w:top w:w="80.0" w:type="dxa"/>
              <w:left w:w="100.0" w:type="dxa"/>
              <w:bottom w:w="80.0" w:type="dxa"/>
              <w:right w:w="100.0" w:type="dxa"/>
            </w:tcMar>
          </w:tcPr>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Internship Report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 Practice</w:t>
            </w:r>
          </w:p>
        </w:tc>
        <w:tc>
          <w:tcPr>
            <w:tcMar>
              <w:top w:w="80.0" w:type="dxa"/>
              <w:left w:w="100.0" w:type="dxa"/>
              <w:bottom w:w="80.0" w:type="dxa"/>
              <w:right w:w="100.0" w:type="dxa"/>
            </w:tcMar>
          </w:tcPr>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of Classroom Learning + Record of Applied and Action Learning</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 Project</w:t>
            </w:r>
          </w:p>
        </w:tc>
        <w:tc>
          <w:tcPr>
            <w:tcMar>
              <w:top w:w="80.0" w:type="dxa"/>
              <w:left w:w="100.0" w:type="dxa"/>
              <w:bottom w:w="80.0" w:type="dxa"/>
              <w:right w:w="100.0" w:type="dxa"/>
            </w:tcMar>
          </w:tcPr>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of Classroom Learning + Project Report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Theory + Practice + Project</w:t>
            </w:r>
          </w:p>
        </w:tc>
        <w:tc>
          <w:tcPr>
            <w:tcMar>
              <w:top w:w="80.0" w:type="dxa"/>
              <w:left w:w="100.0" w:type="dxa"/>
              <w:bottom w:w="80.0" w:type="dxa"/>
              <w:right w:w="100.0" w:type="dxa"/>
            </w:tcMar>
          </w:tcPr>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of Classroom Learning + Record of Applied and Action Learning + Project Report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 Project</w:t>
            </w:r>
          </w:p>
        </w:tc>
        <w:tc>
          <w:tcPr>
            <w:tcMar>
              <w:top w:w="80.0" w:type="dxa"/>
              <w:left w:w="100.0" w:type="dxa"/>
              <w:bottom w:w="80.0" w:type="dxa"/>
              <w:right w:w="100.0" w:type="dxa"/>
            </w:tcMar>
          </w:tcPr>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of Applied and Action Learning + Project Report</w:t>
            </w:r>
          </w:p>
        </w:tc>
      </w:tr>
    </w:tbl>
    <w:p w:rsidR="00000000" w:rsidDel="00000000" w:rsidP="00000000" w:rsidRDefault="00000000" w:rsidRPr="00000000" w14:paraId="0000002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Review already flagged (finding a) that the “Submit LR” screen uses one fixed field set that matches Theory only. The Framework shows the real requirement is broader than “add three more forms”: the platform needs a per-subject configuration flag carrying one of these twelve codes, and for combination subjects it needs to present and track multiple concurrent record submissions against a single subject/course — not a single record type per course as the current Faculty course-setup screen implies.</w:t>
      </w:r>
    </w:p>
    <w:p w:rsidR="00000000" w:rsidDel="00000000" w:rsidP="00000000" w:rsidRDefault="00000000" w:rsidRPr="00000000" w14:paraId="00000029">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MOOC as a first-class subject type</w:t>
      </w:r>
    </w:p>
    <w:p w:rsidR="00000000" w:rsidDel="00000000" w:rsidP="00000000" w:rsidRDefault="00000000" w:rsidRPr="00000000" w14:paraId="0000002A">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MOOC subjects use the Record of Classroom Learning, same as Theory. Neither prior review mentions a MOOC subject type anywhere in the Faculty or Admin course-setup screens reviewed. Recommend confirming MOOC exists as a selectable subject/course type, since its record requirement is identical to Theory but it likely has a different delivery mode and possibly a different attendance/proctoring integration.</w:t>
      </w:r>
    </w:p>
    <w:p w:rsidR="00000000" w:rsidDel="00000000" w:rsidP="00000000" w:rsidRDefault="00000000" w:rsidRPr="00000000" w14:paraId="0000002B">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A formal marks-weightage scheme, and a normalization question it raises</w:t>
      </w:r>
    </w:p>
    <w:p w:rsidR="00000000" w:rsidDel="00000000" w:rsidP="00000000" w:rsidRDefault="00000000" w:rsidRPr="00000000" w14:paraId="0000002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gives explicit “During Program” weightages per record type:</w:t>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2200"/>
        <w:gridCol w:w="2400"/>
        <w:tblGridChange w:id="0">
          <w:tblGrid>
            <w:gridCol w:w="5400"/>
            <w:gridCol w:w="2200"/>
            <w:gridCol w:w="240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Record type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Marks / subject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Weightage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of Classroom Learning</w:t>
            </w:r>
          </w:p>
        </w:tc>
        <w:tc>
          <w:tcPr>
            <w:tcMar>
              <w:top w:w="80.0" w:type="dxa"/>
              <w:left w:w="100.0" w:type="dxa"/>
              <w:bottom w:w="80.0" w:type="dxa"/>
              <w:right w:w="100.0" w:type="dxa"/>
            </w:tcMar>
          </w:tcPr>
          <w:p w:rsidR="00000000" w:rsidDel="00000000" w:rsidP="00000000" w:rsidRDefault="00000000" w:rsidRPr="00000000" w14:paraId="000000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Mar>
              <w:top w:w="80.0" w:type="dxa"/>
              <w:left w:w="100.0" w:type="dxa"/>
              <w:bottom w:w="80.0" w:type="dxa"/>
              <w:right w:w="100.0" w:type="dxa"/>
            </w:tcMar>
          </w:tcPr>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of Applied and Action Learning</w:t>
            </w:r>
          </w:p>
        </w:tc>
        <w:tc>
          <w:tcPr>
            <w:tcMar>
              <w:top w:w="80.0" w:type="dxa"/>
              <w:left w:w="100.0" w:type="dxa"/>
              <w:bottom w:w="80.0" w:type="dxa"/>
              <w:right w:w="100.0" w:type="dxa"/>
            </w:tcMar>
          </w:tcPr>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Mar>
              <w:top w:w="80.0" w:type="dxa"/>
              <w:left w:w="100.0" w:type="dxa"/>
              <w:bottom w:w="80.0" w:type="dxa"/>
              <w:right w:w="100.0" w:type="dxa"/>
            </w:tcMar>
          </w:tcPr>
          <w:p w:rsidR="00000000" w:rsidDel="00000000" w:rsidP="00000000" w:rsidRDefault="00000000" w:rsidRPr="00000000" w14:paraId="000000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of Action Learning</w:t>
            </w:r>
          </w:p>
        </w:tc>
        <w:tc>
          <w:tcPr>
            <w:tcMar>
              <w:top w:w="80.0" w:type="dxa"/>
              <w:left w:w="100.0" w:type="dxa"/>
              <w:bottom w:w="80.0" w:type="dxa"/>
              <w:right w:w="100.0" w:type="dxa"/>
            </w:tcMar>
          </w:tcPr>
          <w:p w:rsidR="00000000" w:rsidDel="00000000" w:rsidP="00000000" w:rsidRDefault="00000000" w:rsidRPr="00000000" w14:paraId="000000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80.0" w:type="dxa"/>
              <w:left w:w="100.0" w:type="dxa"/>
              <w:bottom w:w="80.0" w:type="dxa"/>
              <w:right w:w="100.0" w:type="dxa"/>
            </w:tcMar>
          </w:tcPr>
          <w:p w:rsidR="00000000" w:rsidDel="00000000" w:rsidP="00000000" w:rsidRDefault="00000000" w:rsidRPr="00000000" w14:paraId="000000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Report</w:t>
            </w:r>
          </w:p>
        </w:tc>
        <w:tc>
          <w:tcPr>
            <w:tcMar>
              <w:top w:w="80.0" w:type="dxa"/>
              <w:left w:w="100.0" w:type="dxa"/>
              <w:bottom w:w="80.0" w:type="dxa"/>
              <w:right w:w="100.0" w:type="dxa"/>
            </w:tcMar>
          </w:tcPr>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80.0" w:type="dxa"/>
              <w:left w:w="100.0" w:type="dxa"/>
              <w:bottom w:w="80.0" w:type="dxa"/>
              <w:right w:w="100.0" w:type="dxa"/>
            </w:tcMar>
          </w:tcPr>
          <w:p w:rsidR="00000000" w:rsidDel="00000000" w:rsidP="00000000" w:rsidRDefault="00000000" w:rsidRPr="00000000" w14:paraId="000000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Thesis Report</w:t>
            </w:r>
          </w:p>
        </w:tc>
        <w:tc>
          <w:tcPr>
            <w:tcMar>
              <w:top w:w="80.0" w:type="dxa"/>
              <w:left w:w="100.0" w:type="dxa"/>
              <w:bottom w:w="80.0" w:type="dxa"/>
              <w:right w:w="100.0" w:type="dxa"/>
            </w:tcMar>
          </w:tcPr>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80.0" w:type="dxa"/>
              <w:left w:w="100.0" w:type="dxa"/>
              <w:bottom w:w="80.0" w:type="dxa"/>
              <w:right w:w="100.0" w:type="dxa"/>
            </w:tcMar>
          </w:tcPr>
          <w:p w:rsidR="00000000" w:rsidDel="00000000" w:rsidP="00000000" w:rsidRDefault="00000000" w:rsidRPr="00000000" w14:paraId="000000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Internship Report</w:t>
            </w:r>
          </w:p>
        </w:tc>
        <w:tc>
          <w:tcPr>
            <w:tcMar>
              <w:top w:w="80.0" w:type="dxa"/>
              <w:left w:w="100.0" w:type="dxa"/>
              <w:bottom w:w="80.0" w:type="dxa"/>
              <w:right w:w="100.0" w:type="dxa"/>
            </w:tcMar>
          </w:tcPr>
          <w:p w:rsidR="00000000" w:rsidDel="00000000" w:rsidP="00000000" w:rsidRDefault="00000000" w:rsidRPr="00000000" w14:paraId="000000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Mar>
              <w:top w:w="80.0" w:type="dxa"/>
              <w:left w:w="100.0" w:type="dxa"/>
              <w:bottom w:w="80.0" w:type="dxa"/>
              <w:right w:w="100.0" w:type="dxa"/>
            </w:tcMar>
          </w:tcPr>
          <w:p w:rsidR="00000000" w:rsidDel="00000000" w:rsidP="00000000" w:rsidRDefault="00000000" w:rsidRPr="00000000" w14:paraId="000000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bl>
    <w:p w:rsidR="00000000" w:rsidDel="00000000" w:rsidP="00000000" w:rsidRDefault="00000000" w:rsidRPr="00000000" w14:paraId="00000042">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Cross-checked against the per-entry rubrics the Platform Review and Addendum catalogued from the booklets, two of these don't share the same scale as the subject-level weight they roll up into:</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Applied and Action Learning is scored 50 marks per experiment (Concept 10 + Planning &amp; Execution 10 + Result &amp; Interpretation 10 + Record 10 + Viva 10) on the paper booklet, but the Framework weights the whole record type at only 20% of the subject.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Action Learning (Workshop/Production Unit) is scored 100 per task (50 Critical Thinking/Fieldwork/Report + 50 Presentation &amp; Viva), but the Framework weights it at 30% of the subject.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Thesis and Internship line up cleanly at 30 marks each in both the Addendum's assessment tables and the Framework — no normalization issue there.</w:t>
      </w:r>
    </w:p>
    <w:p w:rsidR="00000000" w:rsidDel="00000000" w:rsidP="00000000" w:rsidRDefault="00000000" w:rsidRPr="00000000" w14:paraId="00000046">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means the platform needs a documented, configurable formula for converting a student's average per-entry score into the Framework's subject-level percentage — e.g. averaging all Applied-and-Action-Learning entries to a mark out of 50, then scaling to the 20-point weight. Nothing in either prior review specified this conversion, and if the Faculty/Student dashboards are currently just averaging raw per-entry scores, the number shown will not match what the Framework says the record type is worth toward the subject grade.</w:t>
      </w:r>
    </w:p>
    <w:p w:rsidR="00000000" w:rsidDel="00000000" w:rsidP="00000000" w:rsidRDefault="00000000" w:rsidRPr="00000000" w14:paraId="00000047">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Program-wise evaluation is a mandatory third tier, not just a transcript view</w:t>
      </w:r>
    </w:p>
    <w:p w:rsidR="00000000" w:rsidDel="00000000" w:rsidP="00000000" w:rsidRDefault="00000000" w:rsidRPr="00000000" w14:paraId="00000048">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specifies three distinct submission/evaluation tiers, each with its own procedure:</w:t>
      </w:r>
    </w:p>
    <w:tbl>
      <w:tblPr>
        <w:tblStyle w:val="Table4"/>
        <w:tblW w:w="10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4200"/>
        <w:gridCol w:w="3200"/>
        <w:tblGridChange w:id="0">
          <w:tblGrid>
            <w:gridCol w:w="2600"/>
            <w:gridCol w:w="4200"/>
            <w:gridCol w:w="320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Tier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happens</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Who evaluates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Subject-wise</w:t>
            </w:r>
          </w:p>
        </w:tc>
        <w:tc>
          <w:tcPr>
            <w:tcMar>
              <w:top w:w="80.0" w:type="dxa"/>
              <w:left w:w="100.0" w:type="dxa"/>
              <w:bottom w:w="80.0" w:type="dxa"/>
              <w:right w:w="100.0" w:type="dxa"/>
            </w:tcMar>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evaluation during the semester, component-wise.</w:t>
            </w:r>
          </w:p>
        </w:tc>
        <w:tc>
          <w:tcPr>
            <w:tcMar>
              <w:top w:w="80.0" w:type="dxa"/>
              <w:left w:w="100.0" w:type="dxa"/>
              <w:bottom w:w="80.0" w:type="dxa"/>
              <w:right w:w="100.0" w:type="dxa"/>
            </w:tcMar>
          </w:tcPr>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Faculty (AI-assisted)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Year-wise</w:t>
            </w:r>
          </w:p>
        </w:tc>
        <w:tc>
          <w:tcPr>
            <w:tcMar>
              <w:top w:w="80.0" w:type="dxa"/>
              <w:left w:w="100.0" w:type="dxa"/>
              <w:bottom w:w="80.0" w:type="dxa"/>
              <w:right w:w="100.0" w:type="dxa"/>
            </w:tcMar>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each academic year; an original hardbound compiled copy per component is submitted, with a copy retained by the student.</w:t>
            </w:r>
          </w:p>
        </w:tc>
        <w:tc>
          <w:tcPr>
            <w:tcMar>
              <w:top w:w="80.0" w:type="dxa"/>
              <w:left w:w="100.0" w:type="dxa"/>
              <w:bottom w:w="80.0" w:type="dxa"/>
              <w:right w:w="100.0" w:type="dxa"/>
            </w:tcMar>
          </w:tcPr>
          <w:p w:rsidR="00000000" w:rsidDel="00000000" w:rsidP="00000000" w:rsidRDefault="00000000" w:rsidRPr="00000000" w14:paraId="0000005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Dean-constituted committee; marks shared with campus exam cell</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Program-wise</w:t>
            </w:r>
          </w:p>
        </w:tc>
        <w:tc>
          <w:tcPr>
            <w:tcMar>
              <w:top w:w="80.0" w:type="dxa"/>
              <w:left w:w="100.0" w:type="dxa"/>
              <w:bottom w:w="80.0" w:type="dxa"/>
              <w:right w:w="100.0" w:type="dxa"/>
            </w:tcMar>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completion of the full program; compiles all year- and component-wise records/reports.</w:t>
            </w:r>
          </w:p>
        </w:tc>
        <w:tc>
          <w:tcPr>
            <w:tcMar>
              <w:top w:w="80.0" w:type="dxa"/>
              <w:left w:w="100.0" w:type="dxa"/>
              <w:bottom w:w="80.0" w:type="dxa"/>
              <w:right w:w="100.0" w:type="dxa"/>
            </w:tcMar>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Dean-constituted committee; per-year marks cumulated and the final mark shared with the exam cell</w:t>
            </w:r>
          </w:p>
        </w:tc>
      </w:tr>
    </w:tbl>
    <w:p w:rsidR="00000000" w:rsidDel="00000000" w:rsidP="00000000" w:rsidRDefault="00000000" w:rsidRPr="00000000" w14:paraId="00000055">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Review's finding (i) treated the multi-year, degree-level roll-up as a Medium-priority, largely reporting-shaped gap (“confirm or build a student-level transcript view”). The Framework shows this is not a transcript feature — it is a mandatory third evaluation stage with its own committee, its own hardbound submission, and its own mark-cumulation step feeding the exam cell. Recommend elevating this to High priority and modelling it as a workflow stage (committee assignment, review, sign-off, exam-cell export) rather than a read-only rollup.</w:t>
      </w:r>
    </w:p>
    <w:p w:rsidR="00000000" w:rsidDel="00000000" w:rsidP="00000000" w:rsidRDefault="00000000" w:rsidRPr="00000000" w14:paraId="00000056">
      <w:pPr>
        <w:pStyle w:val="Heading2"/>
        <w:jc w:val="both"/>
        <w:rPr>
          <w:rFonts w:ascii="Times New Roman" w:cs="Times New Roman" w:eastAsia="Times New Roman" w:hAnsi="Times New Roman"/>
          <w:i w:val="1"/>
          <w:iCs w:val="1"/>
          <w:color w:val="000000"/>
          <w:sz w:val="24"/>
          <w:szCs w:val="24"/>
          <w:u w:val="single"/>
        </w:rPr>
      </w:pPr>
      <w:r w:rsidDel="00000000" w:rsidR="00000000" w:rsidRPr="00000000">
        <w:rPr>
          <w:rFonts w:ascii="Times New Roman" w:cs="Times New Roman" w:eastAsia="Times New Roman" w:hAnsi="Times New Roman"/>
          <w:i w:val="1"/>
          <w:iCs w:val="1"/>
          <w:color w:val="000000"/>
          <w:sz w:val="24"/>
          <w:szCs w:val="24"/>
          <w:u w:val="single"/>
          <w:rtl w:val="0"/>
        </w:rPr>
        <w:t xml:space="preserve">2.4 A credit-bearing structure the platform has no visible home for</w:t>
      </w:r>
    </w:p>
    <w:p w:rsidR="00000000" w:rsidDel="00000000" w:rsidP="00000000" w:rsidRDefault="00000000" w:rsidRPr="00000000" w14:paraId="00000057">
      <w:pPr>
        <w:spacing w:after="160" w:lineRule="auto"/>
        <w:jc w:val="both"/>
        <w:rPr>
          <w:rFonts w:ascii="Times New Roman" w:cs="Times New Roman" w:eastAsia="Times New Roman" w:hAnsi="Times New Roman"/>
          <w:i w:val="1"/>
          <w:iCs w:val="1"/>
          <w:sz w:val="24"/>
          <w:szCs w:val="24"/>
          <w:u w:val="single"/>
        </w:rPr>
      </w:pPr>
      <w:r w:rsidDel="00000000" w:rsidR="00000000" w:rsidRPr="00000000">
        <w:rPr>
          <w:rFonts w:ascii="Times New Roman" w:cs="Times New Roman" w:eastAsia="Times New Roman" w:hAnsi="Times New Roman"/>
          <w:i w:val="1"/>
          <w:iCs w:val="1"/>
          <w:sz w:val="24"/>
          <w:szCs w:val="24"/>
          <w:u w:val="single"/>
          <w:rtl w:val="0"/>
        </w:rPr>
        <w:t xml:space="preserve">The Framework states the ALR carries 1 credit per year of the program (e.g. 4 credits across a 4-year program), and that this sits in a Compulsory Basket in addition to the normal program credit requirement. Neither prior review found a credit field anywhere in the Student, Faculty, HoD or Admin dashboards. This is a new, High-priority gap: the ALR score needs a defined path into the student's credit ledger / academic ERP, not just a mark shown on a dashboard, since it appears to be a graduation requirement in its own right.</w:t>
      </w:r>
    </w:p>
    <w:p w:rsidR="00000000" w:rsidDel="00000000" w:rsidP="00000000" w:rsidRDefault="00000000" w:rsidRPr="00000000" w14:paraId="00000058">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An open question the Framework raises about the 100-mark, five-criterion rubric</w:t>
      </w:r>
    </w:p>
    <w:p w:rsidR="00000000" w:rsidDel="00000000" w:rsidP="00000000" w:rsidRDefault="00000000" w:rsidRPr="00000000" w14:paraId="00000059">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the Annual booklets (per the Platform Review) and the Framework describe the same 100-mark, five-criterion rubric — Coverage of Courses (20), Coverage of Components (20), Quality of Content (20), Aesthetics (20), Presentation &amp; Discussion (20) — signed by a committee. The Platform Review had attributed this rubric to the Annual Record specifically, because that is where it appears on the paper booklet. The Framework, however, places it under an “After completion of Program” heading, next to the 1-credit-per-year statement, immediately after describing both the year-wise and program-wise evaluation tiers.</w:t>
      </w:r>
    </w:p>
    <w:p w:rsidR="00000000" w:rsidDel="00000000" w:rsidP="00000000" w:rsidRDefault="00000000" w:rsidRPr="00000000" w14:paraId="0000005A">
      <w:pPr>
        <w:rPr>
          <w:b w:val="1"/>
          <w:bCs w:val="1"/>
        </w:rPr>
      </w:pPr>
      <w:r w:rsidDel="00000000" w:rsidR="00000000" w:rsidRPr="00000000">
        <w:rPr>
          <w:rFonts w:ascii="Times New Roman" w:cs="Times New Roman" w:eastAsia="Times New Roman" w:hAnsi="Times New Roman"/>
          <w:b w:val="1"/>
          <w:bCs w:val="1"/>
          <w:sz w:val="24"/>
          <w:szCs w:val="24"/>
          <w:rtl w:val="0"/>
        </w:rPr>
        <w:t xml:space="preserve">3. Consolidated and Re-Prioritized Recommendations</w:t>
      </w:r>
      <w:r w:rsidDel="00000000" w:rsidR="00000000" w:rsidRPr="00000000">
        <w:rPr>
          <w:rtl w:val="0"/>
        </w:rPr>
      </w:r>
    </w:p>
    <w:p w:rsidR="00000000" w:rsidDel="00000000" w:rsidP="00000000" w:rsidRDefault="00000000" w:rsidRPr="00000000" w14:paraId="0000005B">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recommendation from the Platform Review is carried forward here, merged with the six Framework-driven items above, and re-ordered into one priority list. </w:t>
      </w:r>
    </w:p>
    <w:p w:rsidR="00000000" w:rsidDel="00000000" w:rsidP="00000000" w:rsidRDefault="00000000" w:rsidRPr="00000000" w14:paraId="0000005C">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 High priority</w:t>
      </w:r>
    </w:p>
    <w:p w:rsidR="00000000" w:rsidDel="00000000" w:rsidP="00000000" w:rsidRDefault="00000000" w:rsidRPr="00000000" w14:paraId="0000005D">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Items that risk a real record-keeping, academic-integrity, or graduation-requirement gap if left unaddressed.</w:t>
      </w:r>
    </w:p>
    <w:p w:rsidR="00000000" w:rsidDel="00000000" w:rsidP="00000000" w:rsidRDefault="00000000" w:rsidRPr="00000000" w14:paraId="0000005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Support the 12-way subject-to-record mapping, including multi-record subjects. </w:t>
      </w:r>
      <w:r w:rsidDel="00000000" w:rsidR="00000000" w:rsidRPr="00000000">
        <w:rPr>
          <w:rFonts w:ascii="Times New Roman" w:cs="Times New Roman" w:eastAsia="Times New Roman" w:hAnsi="Times New Roman"/>
          <w:sz w:val="24"/>
          <w:szCs w:val="24"/>
          <w:rtl w:val="0"/>
        </w:rPr>
        <w:t xml:space="preserve">Let Faculty/Admin tag each course with its Framework combination code at course-setup time, and have the submission flow present every required record type for that subject — not one fixed form.</w:t>
      </w:r>
    </w:p>
    <w:p w:rsidR="00000000" w:rsidDel="00000000" w:rsidP="00000000" w:rsidRDefault="00000000" w:rsidRPr="00000000" w14:paraId="0000005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Add MOOC as a selectable subject/course type. </w:t>
      </w:r>
      <w:r w:rsidDel="00000000" w:rsidR="00000000" w:rsidRPr="00000000">
        <w:rPr>
          <w:rFonts w:ascii="Times New Roman" w:cs="Times New Roman" w:eastAsia="Times New Roman" w:hAnsi="Times New Roman"/>
          <w:sz w:val="24"/>
          <w:szCs w:val="24"/>
          <w:rtl w:val="0"/>
        </w:rPr>
        <w:t xml:space="preserve">It shares the Classroom Learning record with Theory but is otherwise unrepresented in course setup.</w:t>
      </w:r>
    </w:p>
    <w:p w:rsidR="00000000" w:rsidDel="00000000" w:rsidP="00000000" w:rsidRDefault="00000000" w:rsidRPr="00000000" w14:paraId="0000006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Build the Annual Learning Record compilation workflow: committee assignment, the five-criterion rubric, and sign-off. </w:t>
      </w:r>
      <w:r w:rsidDel="00000000" w:rsidR="00000000" w:rsidRPr="00000000">
        <w:rPr>
          <w:rFonts w:ascii="Times New Roman" w:cs="Times New Roman" w:eastAsia="Times New Roman" w:hAnsi="Times New Roman"/>
          <w:sz w:val="24"/>
          <w:szCs w:val="24"/>
          <w:rtl w:val="0"/>
        </w:rPr>
        <w:t xml:space="preserve">Confirm with the Dean's office (per 3.6) whether it runs once per year or once at program exit before finalizing the UI.</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6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 Model program-wise evaluation as a formal workflow stage, not a report view. </w:t>
      </w:r>
      <w:r w:rsidDel="00000000" w:rsidR="00000000" w:rsidRPr="00000000">
        <w:rPr>
          <w:rFonts w:ascii="Times New Roman" w:cs="Times New Roman" w:eastAsia="Times New Roman" w:hAnsi="Times New Roman"/>
          <w:sz w:val="24"/>
          <w:szCs w:val="24"/>
          <w:rtl w:val="0"/>
        </w:rPr>
        <w:t xml:space="preserve">Committee assignment, cumulation of the per-year marks, and an export to the campus exam cell, matching the Framework's third tier.</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6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 Define and configure the per-entry-to-subject-weight normalization formula. </w:t>
      </w:r>
      <w:r w:rsidDel="00000000" w:rsidR="00000000" w:rsidRPr="00000000">
        <w:rPr>
          <w:rFonts w:ascii="Times New Roman" w:cs="Times New Roman" w:eastAsia="Times New Roman" w:hAnsi="Times New Roman"/>
          <w:sz w:val="24"/>
          <w:szCs w:val="24"/>
          <w:rtl w:val="0"/>
        </w:rPr>
        <w:t xml:space="preserve">Document how a 50-mark Applied-and-Action-Learning average becomes the Framework's 20% subject weight, and how a 100-mark Action Learning average becomes 30% — surface the formula, don't leave it implicit in code.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6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 Give the ALR score a path into the student's credit ledger. </w:t>
      </w:r>
      <w:r w:rsidDel="00000000" w:rsidR="00000000" w:rsidRPr="00000000">
        <w:rPr>
          <w:rFonts w:ascii="Times New Roman" w:cs="Times New Roman" w:eastAsia="Times New Roman" w:hAnsi="Times New Roman"/>
          <w:sz w:val="24"/>
          <w:szCs w:val="24"/>
          <w:rtl w:val="0"/>
        </w:rPr>
        <w:t xml:space="preserve">1 credit/year, Compulsory Basket, in addition to the program credit requirement — this needs an integration point with the academic ERP/exam cell, not just a dashboard number.</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6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 Add a “Major / Capstone Deliverable” record type for Project, Internship and PG Thesis. </w:t>
      </w:r>
      <w:r w:rsidDel="00000000" w:rsidR="00000000" w:rsidRPr="00000000">
        <w:rPr>
          <w:rFonts w:ascii="Times New Roman" w:cs="Times New Roman" w:eastAsia="Times New Roman" w:hAnsi="Times New Roman"/>
          <w:sz w:val="24"/>
          <w:szCs w:val="24"/>
          <w:rtl w:val="0"/>
        </w:rPr>
        <w:t xml:space="preserve">One record per deliverable (not per session), carrying candidates, supervisors, title, Word+PDF files, plagiarism report, rubric, and CO Attainment sheet.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6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 Reproduce the multi-party sign-off chain digitally, and generalize it across every tier. </w:t>
      </w:r>
      <w:r w:rsidDel="00000000" w:rsidR="00000000" w:rsidRPr="00000000">
        <w:rPr>
          <w:rFonts w:ascii="Times New Roman" w:cs="Times New Roman" w:eastAsia="Times New Roman" w:hAnsi="Times New Roman"/>
          <w:sz w:val="24"/>
          <w:szCs w:val="24"/>
          <w:rtl w:val="0"/>
        </w:rPr>
        <w:t xml:space="preserve">Student → Supervisor (→ Co-supervisor) → HoD/Dean for Major Deliverables; Faculty → HoD/Dean at year-wise; committee sign-off at program-wise — each as a timestamped, sequential e-sign record, not a single “submitted” flag.</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6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Clarify the Mentor role for PO/PSO Attainment. </w:t>
      </w:r>
      <w:r w:rsidDel="00000000" w:rsidR="00000000" w:rsidRPr="00000000">
        <w:rPr>
          <w:rFonts w:ascii="Times New Roman" w:cs="Times New Roman" w:eastAsia="Times New Roman" w:hAnsi="Times New Roman"/>
          <w:sz w:val="24"/>
          <w:szCs w:val="24"/>
          <w:rtl w:val="0"/>
        </w:rPr>
        <w:t xml:space="preserve">The Annual Record's PO/PSO sheet is signed by a Mentor, distinct from the subject-teaching Faculty who signs the CO sheet; this role isn't visible in any of the four logins reviewed.</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6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 Make the plagiarism threshold configurable per document type. </w:t>
      </w:r>
      <w:r w:rsidDel="00000000" w:rsidR="00000000" w:rsidRPr="00000000">
        <w:rPr>
          <w:rFonts w:ascii="Times New Roman" w:cs="Times New Roman" w:eastAsia="Times New Roman" w:hAnsi="Times New Roman"/>
          <w:sz w:val="24"/>
          <w:szCs w:val="24"/>
          <w:rtl w:val="0"/>
        </w:rPr>
        <w:t xml:space="preserve">The current single global threshold (10/30/50%, default 30%) doesn't fit the Thesis guideline's mandatory 20% Turnitin cap; flag to the university that Project and Internship guidelines don't state a numeric threshold at all.</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68">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 Add an exception path for legitimate self-reuse and co-authored work in plagiarism scoring. </w:t>
      </w:r>
      <w:r w:rsidDel="00000000" w:rsidR="00000000" w:rsidRPr="00000000">
        <w:rPr>
          <w:rFonts w:ascii="Times New Roman" w:cs="Times New Roman" w:eastAsia="Times New Roman" w:hAnsi="Times New Roman"/>
          <w:sz w:val="24"/>
          <w:szCs w:val="24"/>
          <w:rtl w:val="0"/>
        </w:rPr>
        <w:t xml:space="preserve">A place to attach a supervisor's exclusion certificate or co-author consent letter, and to mark specific matches “excluded — supervisor-certified” rather than counted against the score.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6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 Build real case management for alleged plagiarism. </w:t>
      </w:r>
      <w:r w:rsidDel="00000000" w:rsidR="00000000" w:rsidRPr="00000000">
        <w:rPr>
          <w:rFonts w:ascii="Times New Roman" w:cs="Times New Roman" w:eastAsia="Times New Roman" w:hAnsi="Times New Roman"/>
          <w:sz w:val="24"/>
          <w:szCs w:val="24"/>
          <w:rtl w:val="0"/>
        </w:rPr>
        <w:t xml:space="preserve">Committee assignment (excluding the student's own guide), a response-window timer, a recommendation record, and a status trail through to Academic/Management Council ratification — replacing the current simple “Plagiarism / Flagged” status.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6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 Surface the four composite assessment components for Classroom Learning. </w:t>
      </w:r>
      <w:r w:rsidDel="00000000" w:rsidR="00000000" w:rsidRPr="00000000">
        <w:rPr>
          <w:rFonts w:ascii="Times New Roman" w:cs="Times New Roman" w:eastAsia="Times New Roman" w:hAnsi="Times New Roman"/>
          <w:sz w:val="24"/>
          <w:szCs w:val="24"/>
          <w:rtl w:val="0"/>
        </w:rPr>
        <w:t xml:space="preserve">Assignment, Presentation, Mid-Sem Exam, and the Record itself — confirm whether these live in an LMS integration outside ALR scope, or add manual-entry fields so the final course score reflects all four as the paper process requires.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6B">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 Medium priority</w:t>
      </w:r>
    </w:p>
    <w:p w:rsidR="00000000" w:rsidDel="00000000" w:rsidP="00000000" w:rsidRDefault="00000000" w:rsidRPr="00000000" w14:paraId="0000006C">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Functionality that materially improves usefulness or closes a smaller gap.</w:t>
      </w:r>
    </w:p>
    <w:p w:rsidR="00000000" w:rsidDel="00000000" w:rsidP="00000000" w:rsidRDefault="00000000" w:rsidRPr="00000000" w14:paraId="0000006D">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 Route programming submissions through a code-similarity detector </w:t>
      </w:r>
      <w:r w:rsidDel="00000000" w:rsidR="00000000" w:rsidRPr="00000000">
        <w:rPr>
          <w:rFonts w:ascii="Times New Roman" w:cs="Times New Roman" w:eastAsia="Times New Roman" w:hAnsi="Times New Roman"/>
          <w:sz w:val="24"/>
          <w:szCs w:val="24"/>
          <w:rtl w:val="0"/>
        </w:rPr>
        <w:t xml:space="preserve">(e.g. MOSS/JPlag-style token matching) instead of the prose-similarity engine used for reflective writing.</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6E">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 Add hours-based logging for the Workshop/Production Unit record, </w:t>
      </w:r>
      <w:r w:rsidDel="00000000" w:rsidR="00000000" w:rsidRPr="00000000">
        <w:rPr>
          <w:rFonts w:ascii="Times New Roman" w:cs="Times New Roman" w:eastAsia="Times New Roman" w:hAnsi="Times New Roman"/>
          <w:sz w:val="24"/>
          <w:szCs w:val="24"/>
          <w:rtl w:val="0"/>
        </w:rPr>
        <w:t xml:space="preserve">feeding its own certificate of hours contributed, rather than reusing the generic session-count metric.</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6F">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 Add campus-level filtering to HoD and Admin analytics </w:t>
      </w:r>
      <w:r w:rsidDel="00000000" w:rsidR="00000000" w:rsidRPr="00000000">
        <w:rPr>
          <w:rFonts w:ascii="Times New Roman" w:cs="Times New Roman" w:eastAsia="Times New Roman" w:hAnsi="Times New Roman"/>
          <w:sz w:val="24"/>
          <w:szCs w:val="24"/>
          <w:rtl w:val="0"/>
        </w:rPr>
        <w:t xml:space="preserve">across the university's six campuses (Paralakhemundi, Bhubaneswar, Balangir, Rayagada, Balasore, Chatrapur).</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70">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 Confirm or build an accreditation-ready export </w:t>
      </w:r>
      <w:r w:rsidDel="00000000" w:rsidR="00000000" w:rsidRPr="00000000">
        <w:rPr>
          <w:rFonts w:ascii="Times New Roman" w:cs="Times New Roman" w:eastAsia="Times New Roman" w:hAnsi="Times New Roman"/>
          <w:sz w:val="24"/>
          <w:szCs w:val="24"/>
          <w:rtl w:val="0"/>
        </w:rPr>
        <w:t xml:space="preserve">that reproduces the full legacy booklet layout (cover, certificate, declaration, index, rubric sheet), not just a data table — likely to matter at NAAC/NBA audit time.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71">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 Add a logged human appeal/override path for AI scoring, </w:t>
      </w:r>
      <w:r w:rsidDel="00000000" w:rsidR="00000000" w:rsidRPr="00000000">
        <w:rPr>
          <w:rFonts w:ascii="Times New Roman" w:cs="Times New Roman" w:eastAsia="Times New Roman" w:hAnsi="Times New Roman"/>
          <w:sz w:val="24"/>
          <w:szCs w:val="24"/>
          <w:rtl w:val="0"/>
        </w:rPr>
        <w:t xml:space="preserve">with faculty override reason captured and visible to the student, so grade decisions stay defensible.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72">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 Give the Industry Supervisor a tokenised, no-login submission path </w:t>
      </w:r>
      <w:r w:rsidDel="00000000" w:rsidR="00000000" w:rsidRPr="00000000">
        <w:rPr>
          <w:rFonts w:ascii="Times New Roman" w:cs="Times New Roman" w:eastAsia="Times New Roman" w:hAnsi="Times New Roman"/>
          <w:sz w:val="24"/>
          <w:szCs w:val="24"/>
          <w:rtl w:val="0"/>
        </w:rPr>
        <w:t xml:space="preserve">for the external Internship assessment (attendance, stipend, task completion, feedback), replacing the current mailed/emailed scanned form.</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73">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 Auto-total Internal (50%) and External (50%) Internship scores </w:t>
      </w:r>
      <w:r w:rsidDel="00000000" w:rsidR="00000000" w:rsidRPr="00000000">
        <w:rPr>
          <w:rFonts w:ascii="Times New Roman" w:cs="Times New Roman" w:eastAsia="Times New Roman" w:hAnsi="Times New Roman"/>
          <w:sz w:val="24"/>
          <w:szCs w:val="24"/>
          <w:rtl w:val="0"/>
        </w:rPr>
        <w:t xml:space="preserve">in one place once both the Faculty Supervisor's and Industry Supervisor's entries are in, instead of manual reconciliation of two paper forms.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74">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 Gate PG Thesis submission on the Paper Publication Report </w:t>
      </w:r>
      <w:r w:rsidDel="00000000" w:rsidR="00000000" w:rsidRPr="00000000">
        <w:rPr>
          <w:rFonts w:ascii="Times New Roman" w:cs="Times New Roman" w:eastAsia="Times New Roman" w:hAnsi="Times New Roman"/>
          <w:sz w:val="24"/>
          <w:szCs w:val="24"/>
          <w:rtl w:val="0"/>
        </w:rPr>
        <w:t xml:space="preserve">and its own three-stage sign-off (candidate undertaking, supervisor/co-supervisor endorsement, HoD forwarding) before the thesis can move to “Submitted for Evaluation.”</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75">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 Support multi-candidate Major Deliverable records </w:t>
      </w:r>
      <w:r w:rsidDel="00000000" w:rsidR="00000000" w:rsidRPr="00000000">
        <w:rPr>
          <w:rFonts w:ascii="Times New Roman" w:cs="Times New Roman" w:eastAsia="Times New Roman" w:hAnsi="Times New Roman"/>
          <w:sz w:val="24"/>
          <w:szCs w:val="24"/>
          <w:rtl w:val="0"/>
        </w:rPr>
        <w:t xml:space="preserve">since the UG/Diploma Project cover page allows up to three names on one report; avoid workarounds like duplicate records or shared uploads.</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76">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 Retain both the Word file and the PDF, not PDF alone, </w:t>
      </w:r>
      <w:r w:rsidDel="00000000" w:rsidR="00000000" w:rsidRPr="00000000">
        <w:rPr>
          <w:rFonts w:ascii="Times New Roman" w:cs="Times New Roman" w:eastAsia="Times New Roman" w:hAnsi="Times New Roman"/>
          <w:sz w:val="24"/>
          <w:szCs w:val="24"/>
          <w:rtl w:val="0"/>
        </w:rPr>
        <w:t xml:space="preserve">for Project and Thesis submissions, since the Word file matters if a document is re-run through a plagiarism checker or amended after committee feedback.</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77">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x) Record an explicit decision on whether the digital copy is archivally authoritative, </w:t>
      </w:r>
      <w:r w:rsidDel="00000000" w:rsidR="00000000" w:rsidRPr="00000000">
        <w:rPr>
          <w:rFonts w:ascii="Times New Roman" w:cs="Times New Roman" w:eastAsia="Times New Roman" w:hAnsi="Times New Roman"/>
          <w:sz w:val="24"/>
          <w:szCs w:val="24"/>
          <w:rtl w:val="0"/>
        </w:rPr>
        <w:t xml:space="preserve">or a searchable working copy alongside the mandatory hardbound original — put it in the SRS rather than leaving it implicit.</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78">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3.3 Low priority / polish</w:t>
      </w:r>
    </w:p>
    <w:p w:rsidR="00000000" w:rsidDel="00000000" w:rsidP="00000000" w:rsidRDefault="00000000" w:rsidRPr="00000000" w14:paraId="00000079">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 Add a Books/Manuals Referred free-text field </w:t>
      </w:r>
      <w:r w:rsidDel="00000000" w:rsidR="00000000" w:rsidRPr="00000000">
        <w:rPr>
          <w:rFonts w:ascii="Times New Roman" w:cs="Times New Roman" w:eastAsia="Times New Roman" w:hAnsi="Times New Roman"/>
          <w:sz w:val="24"/>
          <w:szCs w:val="24"/>
          <w:rtl w:val="0"/>
        </w:rPr>
        <w:t xml:space="preserve">to the Submit LR form, matching every booklet's outcome sheet.</w:t>
      </w:r>
    </w:p>
    <w:p w:rsidR="00000000" w:rsidDel="00000000" w:rsidP="00000000" w:rsidRDefault="00000000" w:rsidRPr="00000000" w14:paraId="0000007A">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z) Consolidate one-time acknowledgements. </w:t>
      </w:r>
      <w:r w:rsidDel="00000000" w:rsidR="00000000" w:rsidRPr="00000000">
        <w:rPr>
          <w:rFonts w:ascii="Times New Roman" w:cs="Times New Roman" w:eastAsia="Times New Roman" w:hAnsi="Times New Roman"/>
          <w:sz w:val="24"/>
          <w:szCs w:val="24"/>
          <w:rtl w:val="0"/>
        </w:rPr>
        <w:t xml:space="preserve">Both the paper Declaration/Acknowledgement pages and the Plagiarism Policy's one-time compliance statement are natural fits for a single e-declaration checkbox at first login, rather than repeating messaging per submission or per document type.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7B">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aa) Consider optional (not mandatory) MFA for students, </w:t>
      </w:r>
      <w:r w:rsidDel="00000000" w:rsidR="00000000" w:rsidRPr="00000000">
        <w:rPr>
          <w:rFonts w:ascii="Times New Roman" w:cs="Times New Roman" w:eastAsia="Times New Roman" w:hAnsi="Times New Roman"/>
          <w:sz w:val="24"/>
          <w:szCs w:val="24"/>
          <w:rtl w:val="0"/>
        </w:rPr>
        <w:t xml:space="preserve">given the volume of academic-record data now centralised online.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7C">
      <w:pPr>
        <w:spacing w:after="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bb) Plan plagiarism-API headroom ahead of term-end spikes; </w:t>
      </w:r>
      <w:r w:rsidDel="00000000" w:rsidR="00000000" w:rsidRPr="00000000">
        <w:rPr>
          <w:rFonts w:ascii="Times New Roman" w:cs="Times New Roman" w:eastAsia="Times New Roman" w:hAnsi="Times New Roman"/>
          <w:sz w:val="24"/>
          <w:szCs w:val="24"/>
          <w:rtl w:val="0"/>
        </w:rPr>
        <w:t xml:space="preserve">it was reported at 78% of rate-limit capacity on the Admin system-health panel at the time of review.</w:t>
      </w:r>
    </w:p>
    <w:p w:rsidR="00000000" w:rsidDel="00000000" w:rsidP="00000000" w:rsidRDefault="00000000" w:rsidRPr="00000000" w14:paraId="0000007D">
      <w:pPr>
        <w:rPr>
          <w:b w:val="1"/>
          <w:bCs w:val="1"/>
        </w:rPr>
      </w:pPr>
      <w:r w:rsidDel="00000000" w:rsidR="00000000" w:rsidRPr="00000000">
        <w:rPr>
          <w:rFonts w:ascii="Times New Roman" w:cs="Times New Roman" w:eastAsia="Times New Roman" w:hAnsi="Times New Roman"/>
          <w:b w:val="1"/>
          <w:bCs w:val="1"/>
          <w:sz w:val="24"/>
          <w:szCs w:val="24"/>
          <w:rtl w:val="0"/>
        </w:rPr>
        <w:t xml:space="preserve">4. Consolidated Data Model Additions</w:t>
      </w:r>
      <w:r w:rsidDel="00000000" w:rsidR="00000000" w:rsidRPr="00000000">
        <w:rPr>
          <w:rtl w:val="0"/>
        </w:rPr>
      </w:r>
    </w:p>
    <w:p w:rsidR="00000000" w:rsidDel="00000000" w:rsidP="00000000" w:rsidRDefault="00000000" w:rsidRPr="00000000" w14:paraId="0000007E">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Bringing the Addendum's schema together with the Framework's subject-mapping and credit requirements, the platform's data model needs to grow in three places:</w:t>
      </w:r>
    </w:p>
    <w:p w:rsidR="00000000" w:rsidDel="00000000" w:rsidP="00000000" w:rsidRDefault="00000000" w:rsidRPr="00000000" w14:paraId="0000007F">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 Course/Subject setup</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Combination code (one of the twelve Framework types: Theory, MOOC, Practice, Workshop, Project, Thesis, Internship, or one of the five combinations).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Derived list of required record types for the subject, driving which submission forms appear.</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Per-record-type weight (10% / 20% / 30%, per the Framework table) and the normalization formula used to convert per-entry scores to that weight.</w:t>
      </w:r>
    </w:p>
    <w:p w:rsidR="00000000" w:rsidDel="00000000" w:rsidP="00000000" w:rsidRDefault="00000000" w:rsidRPr="00000000" w14:paraId="00000083">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4.2 Major / Capstone Deliverable record (Project, Internship, PG Thesis)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Deliverable type: Minor Project / Major Project / Internship / PG Thesis.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Candidate(s) and Registration No.(s) — supports more than one.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Programme / Branch / Specialization / Campus / Department.</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Supervisor, Co-supervisor (if any), Industry Supervisor (Internship only).</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Word file + PDF file (both required).</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Plagiarism report: score, tool used, threshold applied for this type, any supervisor-certified exclusions.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Assessment: applicable rubric with marks and remarks.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 Attainment sheet.</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Paper Publication Report sub-record (PG Thesis only), with its own three-stage endorsement.</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Sign-off chain: who has approved, in what order, and when.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Status: Draft → Submitted → Under Committee Review (if flagged) → Approved / Withdrawn.</w:t>
      </w:r>
    </w:p>
    <w:p w:rsidR="00000000" w:rsidDel="00000000" w:rsidP="00000000" w:rsidRDefault="00000000" w:rsidRPr="00000000" w14:paraId="0000008F">
      <w:pPr>
        <w:pStyle w:val="Head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4.3 Year-wise and program-wise evaluation records (new, from the Framework)</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Year-wise record: student, academic year, compiled component list, assigned committee members, five-criterion rubric scores, resulting credit for that year, exam-cell export status.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460" w:right="0" w:hanging="2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Program-wise record: student, cumulated per-year marks/credits, assigned committee, final mark, exam-cell export status, link into the credit ledger described in 3.5 / 4.1(f).</w:t>
      </w:r>
    </w:p>
    <w:p w:rsidR="00000000" w:rsidDel="00000000" w:rsidP="00000000" w:rsidRDefault="00000000" w:rsidRPr="00000000" w14:paraId="00000092">
      <w:pPr>
        <w:rPr>
          <w:b w:val="1"/>
          <w:bCs w:val="1"/>
        </w:rPr>
      </w:pPr>
      <w:r w:rsidDel="00000000" w:rsidR="00000000" w:rsidRPr="00000000">
        <w:rPr>
          <w:rFonts w:ascii="Times New Roman" w:cs="Times New Roman" w:eastAsia="Times New Roman" w:hAnsi="Times New Roman"/>
          <w:b w:val="1"/>
          <w:bCs w:val="1"/>
          <w:sz w:val="24"/>
          <w:szCs w:val="24"/>
          <w:rtl w:val="0"/>
        </w:rPr>
        <w:t xml:space="preserve">5. Summary</w:t>
      </w:r>
      <w:r w:rsidDel="00000000" w:rsidR="00000000" w:rsidRPr="00000000">
        <w:rPr>
          <w:rtl w:val="0"/>
        </w:rPr>
      </w:r>
    </w:p>
    <w:p w:rsidR="00000000" w:rsidDel="00000000" w:rsidP="00000000" w:rsidRDefault="00000000" w:rsidRPr="00000000" w14:paraId="00000093">
      <w:pPr>
        <w:spacing w:after="1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platform's foundations were already sound going into this compilation — instant AI scoring, live plagiarism checks, and rolled-up analytics all beat the paper process. What the Framework adds is precision: it turns “add more record types” into a specific twelve-way mapping, turns “consider a transcript view” into a mandatory committee-run program-wise tier, and reveals that the whole system ultimately has to post real academic credit, not just a score, which nothing reviewed so far visibly does.</w:t>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0" w:hanging="260"/>
      </w:pPr>
      <w:rPr/>
    </w:lvl>
    <w:lvl w:ilvl="1">
      <w:start w:val="1"/>
      <w:numFmt w:val="bullet"/>
      <w:lvlText w:val="◦"/>
      <w:lvlJc w:val="left"/>
      <w:pPr>
        <w:ind w:left="820" w:hanging="2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f3864" w:space="4" w:sz="8" w:val="single"/>
        <w:right w:space="0" w:sz="0" w:val="nil"/>
        <w:between w:space="0" w:sz="0" w:val="nil"/>
      </w:pBdr>
      <w:shd w:fill="auto" w:val="clear"/>
      <w:spacing w:after="160" w:before="320" w:line="276" w:lineRule="auto"/>
      <w:ind w:left="0" w:right="0" w:firstLine="0"/>
      <w:jc w:val="left"/>
    </w:pPr>
    <w:rPr>
      <w:rFonts w:ascii="Calibri" w:cs="Calibri" w:eastAsia="Calibri" w:hAnsi="Calibri"/>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76" w:lineRule="auto"/>
      <w:ind w:left="0" w:right="0" w:firstLine="0"/>
      <w:jc w:val="left"/>
    </w:pPr>
    <w:rPr>
      <w:rFonts w:ascii="Calibri" w:cs="Calibri" w:eastAsia="Calibri" w:hAnsi="Calibri"/>
      <w:b w:val="1"/>
      <w:bCs w:val="1"/>
      <w:i w:val="0"/>
      <w:iCs w:val="0"/>
      <w:smallCaps w:val="0"/>
      <w:strike w:val="0"/>
      <w:color w:val="2e5395"/>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Calibri" w:cs="Calibri" w:eastAsia="Calibri" w:hAnsi="Calibri"/>
      <w:b w:val="1"/>
      <w:bCs w:val="1"/>
      <w:i w:val="1"/>
      <w:iCs w:val="1"/>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