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 w:line="248"/>
        <w:jc w:val="left"/>
      </w:pPr>
      <w:r>
        <w:rPr>
          <w:rFonts w:ascii="Calibri" w:cs="Calibri" w:eastAsia="Calibri" w:hAnsi="Calibri"/>
          <w:b/>
          <w:bCs/>
          <w:color w:val="1F3F5C"/>
          <w:sz w:val="17"/>
          <w:szCs w:val="17"/>
        </w:rPr>
        <w:t xml:space="preserve">System Architecture</w:t>
      </w:r>
      <w:r>
        <w:rPr>
          <w:rFonts w:ascii="Calibri" w:cs="Calibri" w:eastAsia="Calibri" w:hAnsi="Calibri"/>
          <w:color w:val="94A3B8"/>
          <w:sz w:val="12"/>
          <w:szCs w:val="12"/>
        </w:rPr>
        <w:t xml:space="preserve">  — five-layer view: client → application → core services → data / integrations → infrastructure</w:t>
      </w:r>
    </w:p>
    <w:p>
      <w:pPr>
        <w:spacing w:after="55"/>
        <w:jc w:val="center"/>
      </w:pPr>
      <w:r>
        <w:drawing>
          <wp:inline distT="0" distB="0" distL="0" distR="0">
            <wp:extent cx="7696200" cy="3076575"/>
            <wp:effectExtent t="0" r="0" b="0" l="0"/>
            <wp:docPr id="1" name="arch" descr="System architecture" title="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 w:line="248"/>
        <w:jc w:val="left"/>
      </w:pPr>
      <w:r>
        <w:rPr>
          <w:rFonts w:ascii="Calibri" w:cs="Calibri" w:eastAsia="Calibri" w:hAnsi="Calibri"/>
          <w:b/>
          <w:bCs/>
          <w:color w:val="1F3F5C"/>
          <w:sz w:val="17"/>
          <w:szCs w:val="17"/>
        </w:rPr>
        <w:t xml:space="preserve">Technology Stack</w:t>
      </w:r>
      <w:r>
        <w:rPr>
          <w:rFonts w:ascii="Calibri" w:cs="Calibri" w:eastAsia="Calibri" w:hAnsi="Calibri"/>
          <w:color w:val="94A3B8"/>
          <w:sz w:val="12"/>
          <w:szCs w:val="12"/>
        </w:rPr>
        <w:t xml:space="preserve">  — canonical reference for all tooling decisions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0"/>
        <w:gridCol w:w="300"/>
        <w:gridCol w:w="7050"/>
      </w:tblGrid>
      <w:tr>
        <w:tc>
          <w:tcPr>
            <w:tcW w:type="dxa" w:w="7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100"/>
              <w:gridCol w:w="375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1F3F5C" w:sz="1"/>
                    <w:left w:val="single" w:color="1F3F5C" w:sz="1"/>
                    <w:bottom w:val="single" w:color="1F3F5C" w:sz="1"/>
                    <w:right w:val="single" w:color="1F3F5C" w:sz="1"/>
                  </w:tcBorders>
                  <w:shd w:fill="1F3F5C" w:val="clear"/>
                  <w:tcMar>
                    <w:top w:type="dxa" w:w="44"/>
                    <w:left w:type="dxa" w:w="80"/>
                    <w:bottom w:type="dxa" w:w="44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Category</w:t>
                  </w:r>
                </w:p>
              </w:tc>
              <w:tc>
                <w:tcPr>
                  <w:tcW w:type="dxa" w:w="2100"/>
                  <w:tcBorders>
                    <w:top w:val="single" w:color="1F3F5C" w:sz="1"/>
                    <w:left w:val="single" w:color="1F3F5C" w:sz="1"/>
                    <w:bottom w:val="single" w:color="1F3F5C" w:sz="1"/>
                    <w:right w:val="single" w:color="1F3F5C" w:sz="1"/>
                  </w:tcBorders>
                  <w:shd w:fill="1F3F5C" w:val="clear"/>
                  <w:tcMar>
                    <w:top w:type="dxa" w:w="44"/>
                    <w:left w:type="dxa" w:w="80"/>
                    <w:bottom w:type="dxa" w:w="44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Technology</w:t>
                  </w:r>
                </w:p>
              </w:tc>
              <w:tc>
                <w:tcPr>
                  <w:tcW w:type="dxa" w:w="3750"/>
                  <w:tcBorders>
                    <w:top w:val="single" w:color="1F3F5C" w:sz="1"/>
                    <w:left w:val="single" w:color="1F3F5C" w:sz="1"/>
                    <w:bottom w:val="single" w:color="1F3F5C" w:sz="1"/>
                    <w:right w:val="single" w:color="1F3F5C" w:sz="1"/>
                  </w:tcBorders>
                  <w:shd w:fill="1F3F5C" w:val="clear"/>
                  <w:tcMar>
                    <w:top w:type="dxa" w:w="44"/>
                    <w:left w:type="dxa" w:w="80"/>
                    <w:bottom w:type="dxa" w:w="44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Description / Notes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Monorepo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Turborepo + npm workspaces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Shared build cache · apps/api · apps/web · packages/types · packages/utils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Frontend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Next.js 14 (App Router)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SSR + static, dashboard, housekeeping PWA · TypeScript · Tailwind · shadcn/ui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Backend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Fastify (Node.js 20)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REST API, WebSocket server, webhook handlers · TypeScript · Zod · domain modules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ORM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Prisma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Type-safe DB access, migrations · RLS enforced at Postgres level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Database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PostgreSQL 16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Primary store, full-text search · Supabase (MVP) → AWS RDS (Phase 2)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Cache / Queue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Redis 7 + BullMQ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Sessions, pub/sub, async jobs, retries · Upstash (MVP) → ElastiCache later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Real-time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Socket.io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Live room grid sync · Redis adapter for multi-instance · Scoped by hotel_id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File Storage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Cloudflare R2 / S3-compat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CNIC scans, receipts, photos · S3-compatible API — change endpoint to migrate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Auth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Custom JWT + bcrypt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Access token + httpOnly refresh cookie · Roles: Owner, Manager, Front Desk, HK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7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100"/>
              <w:gridCol w:w="375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1F3F5C" w:sz="1"/>
                    <w:left w:val="single" w:color="1F3F5C" w:sz="1"/>
                    <w:bottom w:val="single" w:color="1F3F5C" w:sz="1"/>
                    <w:right w:val="single" w:color="1F3F5C" w:sz="1"/>
                  </w:tcBorders>
                  <w:shd w:fill="1F3F5C" w:val="clear"/>
                  <w:tcMar>
                    <w:top w:type="dxa" w:w="44"/>
                    <w:left w:type="dxa" w:w="80"/>
                    <w:bottom w:type="dxa" w:w="44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Category</w:t>
                  </w:r>
                </w:p>
              </w:tc>
              <w:tc>
                <w:tcPr>
                  <w:tcW w:type="dxa" w:w="2100"/>
                  <w:tcBorders>
                    <w:top w:val="single" w:color="1F3F5C" w:sz="1"/>
                    <w:left w:val="single" w:color="1F3F5C" w:sz="1"/>
                    <w:bottom w:val="single" w:color="1F3F5C" w:sz="1"/>
                    <w:right w:val="single" w:color="1F3F5C" w:sz="1"/>
                  </w:tcBorders>
                  <w:shd w:fill="1F3F5C" w:val="clear"/>
                  <w:tcMar>
                    <w:top w:type="dxa" w:w="44"/>
                    <w:left w:type="dxa" w:w="80"/>
                    <w:bottom w:type="dxa" w:w="44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Technology</w:t>
                  </w:r>
                </w:p>
              </w:tc>
              <w:tc>
                <w:tcPr>
                  <w:tcW w:type="dxa" w:w="3750"/>
                  <w:tcBorders>
                    <w:top w:val="single" w:color="1F3F5C" w:sz="1"/>
                    <w:left w:val="single" w:color="1F3F5C" w:sz="1"/>
                    <w:bottom w:val="single" w:color="1F3F5C" w:sz="1"/>
                    <w:right w:val="single" w:color="1F3F5C" w:sz="1"/>
                  </w:tcBorders>
                  <w:shd w:fill="1F3F5C" w:val="clear"/>
                  <w:tcMar>
                    <w:top w:type="dxa" w:w="44"/>
                    <w:left w:type="dxa" w:w="80"/>
                    <w:bottom w:type="dxa" w:w="44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Description / Notes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Channel Mgr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STAAH / SiteMinder (adapter)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OTA availability + rate sync, booking webhooks · Adapter pattern, Phase 2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WhatsApp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Meta Cloud API (BSP)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Unified inbox, confirmations, owner briefing · ~$0.003/utility msg (PK)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Payments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JazzCash · Easypaisa · 1Link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Mobile wallet + bank transfer · Merchant onboarding runs in parallel with dev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OCR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Google Vision API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CNIC/passport scan → auto-fill guest profile · $1.50/1,000 units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CI/CD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GitHub Actions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Test → build → push Docker image → deploy · Secrets via GitHub Secrets / Doppler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Hosting (MVP)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Hetzner CX41 + Supabase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4 vCPU/16 GB VPS + managed Postgres + Redis · ~$53/month · Docker Compose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Observability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Pino + Sentry + BetterUptime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Structured JSON logs, error tracking, uptime alerts · Grafana Loki in Phase 2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8FAFC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F5C"/>
                      <w:sz w:val="13"/>
                      <w:szCs w:val="13"/>
                    </w:rPr>
                    <w:t xml:space="preserve">CDN / Security</w:t>
                  </w:r>
                </w:p>
              </w:tc>
              <w:tc>
                <w:tcPr>
                  <w:tcW w:type="dxa" w:w="21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6B72"/>
                      <w:sz w:val="13"/>
                      <w:szCs w:val="13"/>
                    </w:rPr>
                    <w:t xml:space="preserve">Cloudflare (Free → Pro)</w:t>
                  </w:r>
                </w:p>
              </w:tc>
              <w:tc>
                <w:tcPr>
                  <w:tcW w:type="dxa" w:w="375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Calibri" w:cs="Calibri" w:eastAsia="Calibri" w:hAnsi="Calibri"/>
                      <w:color w:val="475569"/>
                      <w:sz w:val="12"/>
                      <w:szCs w:val="12"/>
                    </w:rPr>
                    <w:t xml:space="preserve">CDN, WAF, DDoS protection, rate limiting, SSL · Pro ($20/mo) at ~30 hotels</w:t>
                  </w:r>
                </w:p>
              </w:tc>
            </w:tr>
          </w:tbl>
          <w:p/>
        </w:tc>
      </w:tr>
    </w:tbl>
    <w:p>
      <w:pPr>
        <w:spacing w:after="45" w:before="55" w:line="248"/>
        <w:jc w:val="left"/>
      </w:pPr>
      <w:r>
        <w:rPr>
          <w:rFonts w:ascii="Calibri" w:cs="Calibri" w:eastAsia="Calibri" w:hAnsi="Calibri"/>
          <w:b/>
          <w:bCs/>
          <w:color w:val="1F3F5C"/>
          <w:sz w:val="17"/>
          <w:szCs w:val="17"/>
        </w:rPr>
        <w:t xml:space="preserve">Key Architecture Principles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1D4ED8" w:sz="10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 w:before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4"/>
                <w:szCs w:val="14"/>
              </w:rPr>
              <w:t xml:space="preserve">Modular Monolith</w:t>
            </w:r>
          </w:p>
          <w:p>
            <w:pPr>
              <w:spacing w:after="0" w:before="0" w:line="248"/>
              <w:jc w:val="left"/>
            </w:pPr>
            <w:r>
              <w:rPr>
                <w:rFonts w:ascii="Calibri" w:cs="Calibri" w:eastAsia="Calibri" w:hAnsi="Calibri"/>
                <w:color w:val="475569"/>
                <w:sz w:val="12"/>
                <w:szCs w:val="12"/>
              </w:rPr>
              <w:t xml:space="preserve">One repo, domain-separated modules. Extract to services only when a module needs independent scaling.</w:t>
            </w:r>
          </w:p>
        </w:tc>
        <w:tc>
          <w:tcPr>
            <w:tcW w:type="dxa" w:w="3600"/>
            <w:tcBorders>
              <w:top w:val="single" w:color="15803D" w:sz="10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 w:before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4"/>
                <w:szCs w:val="14"/>
              </w:rPr>
              <w:t xml:space="preserve">Adapter Pattern</w:t>
            </w:r>
          </w:p>
          <w:p>
            <w:pPr>
              <w:spacing w:after="0" w:before="0" w:line="248"/>
              <w:jc w:val="left"/>
            </w:pPr>
            <w:r>
              <w:rPr>
                <w:rFonts w:ascii="Calibri" w:cs="Calibri" w:eastAsia="Calibri" w:hAnsi="Calibri"/>
                <w:color w:val="475569"/>
                <w:sz w:val="12"/>
                <w:szCs w:val="12"/>
              </w:rPr>
              <w:t xml:space="preserve">STAAH, WhatsApp, JazzCash each sit behind an interface. Swap vendors by changing the adapter only.</w:t>
            </w:r>
          </w:p>
        </w:tc>
        <w:tc>
          <w:tcPr>
            <w:tcW w:type="dxa" w:w="3600"/>
            <w:tcBorders>
              <w:top w:val="single" w:color="C2410C" w:sz="10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 w:before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4"/>
                <w:szCs w:val="14"/>
              </w:rPr>
              <w:t xml:space="preserve">Tenant Isolation</w:t>
            </w:r>
          </w:p>
          <w:p>
            <w:pPr>
              <w:spacing w:after="0" w:before="0" w:line="248"/>
              <w:jc w:val="left"/>
            </w:pPr>
            <w:r>
              <w:rPr>
                <w:rFonts w:ascii="Calibri" w:cs="Calibri" w:eastAsia="Calibri" w:hAnsi="Calibri"/>
                <w:color w:val="475569"/>
                <w:sz w:val="12"/>
                <w:szCs w:val="12"/>
              </w:rPr>
              <w:t xml:space="preserve">hotel_id on every table. Postgres RLS enforces data isolation at the DB level — app bugs can't leak.</w:t>
            </w:r>
          </w:p>
        </w:tc>
        <w:tc>
          <w:tcPr>
            <w:tcW w:type="dxa" w:w="3600"/>
            <w:tcBorders>
              <w:top w:val="single" w:color="6B21A8" w:sz="10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 w:before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14"/>
                <w:szCs w:val="14"/>
              </w:rPr>
              <w:t xml:space="preserve">Cloud-Portable</w:t>
            </w:r>
          </w:p>
          <w:p>
            <w:pPr>
              <w:spacing w:after="0" w:before="0" w:line="248"/>
              <w:jc w:val="left"/>
            </w:pPr>
            <w:r>
              <w:rPr>
                <w:rFonts w:ascii="Calibri" w:cs="Calibri" w:eastAsia="Calibri" w:hAnsi="Calibri"/>
                <w:color w:val="475569"/>
                <w:sz w:val="12"/>
                <w:szCs w:val="12"/>
              </w:rPr>
              <w:t xml:space="preserve">Docker Compose today, ECS/RDS tomorrow. All config via env vars. AWS is a deployment change, not code.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450" w:right="576" w:bottom="45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0"/>
      <w:jc w:val="center"/>
    </w:pPr>
    <w:r>
      <w:rPr>
        <w:rFonts w:ascii="Calibri" w:cs="Calibri" w:eastAsia="Calibri" w:hAnsi="Calibri"/>
        <w:color w:val="94A3B8"/>
        <w:sz w:val="14"/>
        <w:szCs w:val="14"/>
      </w:rPr>
      <w:t xml:space="preserve">Confidential — Internal Only   ·   Hetzner + Supabase MVP → AWS Phase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F5C" w:sz="4" w:space="4"/>
      </w:pBdr>
      <w:spacing w:after="0"/>
    </w:pPr>
    <w:r>
      <w:rPr>
        <w:rFonts w:ascii="Calibri" w:cs="Calibri" w:eastAsia="Calibri" w:hAnsi="Calibri"/>
        <w:b/>
        <w:bCs/>
        <w:color w:val="1F3F5C"/>
        <w:sz w:val="21"/>
        <w:szCs w:val="21"/>
      </w:rPr>
      <w:t xml:space="preserve">HOTEL PMS</w:t>
    </w:r>
    <w:r>
      <w:rPr>
        <w:rFonts w:ascii="Calibri" w:cs="Calibri" w:eastAsia="Calibri" w:hAnsi="Calibri"/>
        <w:color w:val="94A3B8"/>
        <w:sz w:val="15"/>
        <w:szCs w:val="15"/>
      </w:rPr>
      <w:t xml:space="preserve">   ·   Technical Architecture — Internal Reference</w:t>
    </w:r>
    <w:r>
      <w:rPr>
        <w:rFonts w:ascii="Calibri" w:cs="Calibri" w:eastAsia="Calibri" w:hAnsi="Calibri"/>
        <w:sz w:val="15"/>
        <w:szCs w:val="15"/>
      </w:rPr>
      <w:t xml:space="preserve">                                                                                                           </w:t>
    </w:r>
    <w:r>
      <w:rPr>
        <w:rFonts w:ascii="Calibri" w:cs="Calibri" w:eastAsia="Calibri" w:hAnsi="Calibri"/>
        <w:b/>
        <w:bCs/>
        <w:color w:val="1A6B72"/>
        <w:sz w:val="15"/>
        <w:szCs w:val="15"/>
      </w:rPr>
      <w:t xml:space="preserve">v1.0  /  MVP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e1a57730ab2a56b9b7c96848ea8971975bc61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PMS — Technical Architecture</dc:title>
  <dc:creator>Hotel PMS</dc:creator>
  <cp:lastModifiedBy>Un-named</cp:lastModifiedBy>
  <cp:revision>1</cp:revision>
  <dcterms:created xsi:type="dcterms:W3CDTF">2026-05-17T14:05:58.546Z</dcterms:created>
  <dcterms:modified xsi:type="dcterms:W3CDTF">2026-05-17T14:05:58.546Z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