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480"/>
              <w:left w:type="dxa" w:w="480"/>
              <w:bottom w:type="dxa" w:w="480"/>
              <w:right w:type="dxa" w:w="480"/>
            </w:tcMar>
          </w:tcPr>
          <w:p>
            <w:pPr>
              <w:spacing w:before="0" w:after="60"/>
              <w:jc w:val="center"/>
            </w:pPr>
            <w:r>
              <w:rPr>
                <w:rFonts w:ascii="Arial" w:cs="Arial" w:eastAsia="Arial" w:hAnsi="Arial"/>
                <w:b/>
                <w:bCs/>
                <w:color w:val="38BDF8"/>
                <w:sz w:val="96"/>
                <w:szCs w:val="96"/>
              </w:rPr>
              <w:t xml:space="preserve">DocMaster</w:t>
            </w:r>
          </w:p>
          <w:p>
            <w:pPr>
              <w:spacing w:before="0" w:after="80"/>
              <w:jc w:val="center"/>
            </w:pPr>
            <w:r>
              <w:rPr>
                <w:rFonts w:ascii="Arial" w:cs="Arial" w:eastAsia="Arial" w:hAnsi="Arial"/>
                <w:color w:val="94A3B8"/>
                <w:sz w:val="32"/>
                <w:szCs w:val="32"/>
              </w:rPr>
              <w:t xml:space="preserve">Document Intelligence Appliance</w:t>
            </w:r>
          </w:p>
          <w:p>
            <w:pPr>
              <w:spacing w:before="0" w:after="0"/>
              <w:jc w:val="center"/>
            </w:pPr>
            <w:r>
              <w:rPr>
                <w:rFonts w:ascii="Arial" w:cs="Arial" w:eastAsia="Arial" w:hAnsi="Arial"/>
                <w:color w:val="6D28D9"/>
                <w:sz w:val="22"/>
                <w:szCs w:val="22"/>
              </w:rPr>
              <w:t xml:space="preserve">━━━━━━━━━━━━━━━━━━━━━━━━━━━━━━━━━━━━━━</w:t>
            </w:r>
          </w:p>
          <w:p>
            <w:pPr>
              <w:spacing w:before="0" w:after="80"/>
            </w:pPr>
            <w:r>
              <w:t xml:space="preserve"/>
            </w:r>
          </w:p>
          <w:p>
            <w:pPr>
              <w:spacing w:before="0" w:after="60"/>
              <w:jc w:val="center"/>
            </w:pPr>
            <w:r>
              <w:rPr>
                <w:rFonts w:ascii="Arial" w:cs="Arial" w:eastAsia="Arial" w:hAnsi="Arial"/>
                <w:b/>
                <w:bCs/>
                <w:color w:val="FFFFFF"/>
                <w:sz w:val="28"/>
                <w:szCs w:val="28"/>
              </w:rPr>
              <w:t xml:space="preserve">PHASE 5 — THE INSIGHTS ENGINE</w:t>
            </w:r>
          </w:p>
          <w:p>
            <w:pPr>
              <w:spacing w:before="0" w:after="0"/>
              <w:jc w:val="center"/>
            </w:pPr>
            <w:r>
              <w:rPr>
                <w:rFonts w:ascii="Arial" w:cs="Arial" w:eastAsia="Arial" w:hAnsi="Arial"/>
                <w:color w:val="94A3B8"/>
                <w:sz w:val="24"/>
                <w:szCs w:val="24"/>
              </w:rPr>
              <w:t xml:space="preserve">Cross-Document Intelligence, Entity Graph, Analytics &amp; BI Export</w:t>
            </w:r>
          </w:p>
        </w:tc>
      </w:tr>
    </w:tbl>
    <w:p>
      <w:pPr>
        <w:spacing w:before="0" w:after="240"/>
      </w:pPr>
      <w:r>
        <w:t xml:space="preserve"/>
      </w:r>
    </w:p>
    <w:p>
      <w:pPr>
        <w:spacing w:before="0" w:after="60"/>
        <w:jc w:val="right"/>
      </w:pPr>
      <w:r>
        <w:rPr>
          <w:rFonts w:ascii="Arial" w:cs="Arial" w:eastAsia="Arial" w:hAnsi="Arial"/>
          <w:color w:val="64748B"/>
          <w:sz w:val="20"/>
          <w:szCs w:val="20"/>
        </w:rPr>
        <w:t xml:space="preserve">Date: March 3, 2026</w:t>
      </w:r>
    </w:p>
    <w:p>
      <w:pPr>
        <w:spacing w:before="0" w:after="60"/>
        <w:jc w:val="right"/>
      </w:pPr>
      <w:r>
        <w:rPr>
          <w:rFonts w:ascii="Arial" w:cs="Arial" w:eastAsia="Arial" w:hAnsi="Arial"/>
          <w:b/>
          <w:bCs/>
          <w:color w:val="0E7490"/>
          <w:sz w:val="20"/>
          <w:szCs w:val="20"/>
        </w:rPr>
        <w:t xml:space="preserve">Classification: CONFIDENTIAL — PROPRIETARY</w:t>
      </w:r>
    </w:p>
    <w:p>
      <w:pPr>
        <w:spacing w:before="0" w:after="60"/>
        <w:jc w:val="right"/>
      </w:pPr>
      <w:r>
        <w:rPr>
          <w:rFonts w:ascii="Arial" w:cs="Arial" w:eastAsia="Arial" w:hAnsi="Arial"/>
          <w:color w:val="64748B"/>
          <w:sz w:val="20"/>
          <w:szCs w:val="20"/>
        </w:rPr>
        <w:t xml:space="preserve">Product: DocMaster v1.1  |  Phase: 5 of 5</w:t>
      </w:r>
    </w:p>
    <w:p>
      <w:pPr>
        <w:spacing w:before="0" w:after="60"/>
        <w:jc w:val="right"/>
      </w:pPr>
      <w:r>
        <w:rPr>
          <w:rFonts w:ascii="Arial" w:cs="Arial" w:eastAsia="Arial" w:hAnsi="Arial"/>
          <w:color w:val="64748B"/>
          <w:sz w:val="20"/>
          <w:szCs w:val="20"/>
        </w:rPr>
        <w:t xml:space="preserve">API Namespace: /dm/insights/  |  Service: dm-insights.service</w:t>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r>
              <w:rPr>
                <w:rFonts w:ascii="Arial" w:cs="Arial" w:eastAsia="Arial" w:hAnsi="Arial"/>
                <w:b/>
                <w:bCs/>
                <w:color w:val="FDE68A"/>
                <w:sz w:val="20"/>
                <w:szCs w:val="20"/>
              </w:rPr>
              <w:t xml:space="preserve">SECTION 1 — EXECUTIVE SUMMARY</w:t>
            </w:r>
          </w:p>
          <w:p>
            <w:r>
              <w:rPr>
                <w:rFonts w:ascii="Arial" w:cs="Arial" w:eastAsia="Arial" w:hAnsi="Arial"/>
                <w:color w:val="94A3B8"/>
                <w:sz w:val="18"/>
                <w:szCs w:val="18"/>
              </w:rPr>
              <w:t xml:space="preserve">The Insights Engine: from document processing to institutional intelligence</w:t>
            </w:r>
          </w:p>
        </w:tc>
      </w:tr>
    </w:tbl>
    <w:p>
      <w:pPr>
        <w:spacing w:before="0" w:after="80"/>
      </w:pPr>
      <w:r>
        <w:t xml:space="preserve"/>
      </w:r>
    </w:p>
    <w:p>
      <w:pPr>
        <w:pStyle w:val="Heading1"/>
        <w:pBdr>
          <w:bottom w:val="single" w:color="0E7490" w:sz="8" w:space="2"/>
        </w:pBdr>
        <w:spacing w:before="480" w:after="160"/>
      </w:pPr>
      <w:r>
        <w:rPr>
          <w:rFonts w:ascii="Arial" w:cs="Arial" w:eastAsia="Arial" w:hAnsi="Arial"/>
          <w:b/>
          <w:bCs/>
          <w:color w:val="1E293B"/>
          <w:sz w:val="40"/>
          <w:szCs w:val="40"/>
        </w:rPr>
        <w:t xml:space="preserve">Executive Summary</w:t>
      </w:r>
    </w:p>
    <w:p>
      <w:pPr>
        <w:spacing w:before="60" w:after="100"/>
      </w:pPr>
      <w:r>
        <w:rPr>
          <w:rFonts w:ascii="Arial" w:cs="Arial" w:eastAsia="Arial" w:hAnsi="Arial"/>
          <w:color w:val="334155"/>
          <w:sz w:val="22"/>
          <w:szCs w:val="22"/>
        </w:rPr>
        <w:t xml:space="preserve">Phases 1 through 4 built the complete DocMaster foundation: a closed-source, air-gapped document intelligence appliance that ingests documents from any channel, processes them through a cascaded OCR and LLM extraction pipeline, stores structured records in a PostgreSQL vault, and surfaces them through a clean operator interface. Phase 4 delivered the build execution specification — the installer, the database schema, the API surface, the security hardening model, and the QA matrix.</w:t>
      </w:r>
    </w:p>
    <w:p>
      <w:pPr>
        <w:spacing w:before="0" w:after="80"/>
      </w:pPr>
      <w:r>
        <w:t xml:space="preserve"/>
      </w:r>
    </w:p>
    <w:p>
      <w:pPr>
        <w:spacing w:before="60" w:after="100"/>
      </w:pPr>
      <w:r>
        <w:rPr>
          <w:rFonts w:ascii="Arial" w:cs="Arial" w:eastAsia="Arial" w:hAnsi="Arial"/>
          <w:color w:val="334155"/>
          <w:sz w:val="22"/>
          <w:szCs w:val="22"/>
        </w:rPr>
        <w:t xml:space="preserve">Phase 5 introduces the DocMaster Insights Engine — the analytical intelligence layer that sits on top of the processed vault. Where the core platform answers 'what does this document say?', the Insights Engine answers a fundamentally different and more powerful question: 'what does the entire collection of documents mean?'</w:t>
      </w:r>
    </w:p>
    <w:p>
      <w:pPr>
        <w:spacing w:before="0" w:after="80"/>
      </w:pPr>
      <w:r>
        <w:t xml:space="preserve"/>
      </w:r>
    </w:p>
    <w:p>
      <w:pPr>
        <w:spacing w:before="60" w:after="100"/>
      </w:pPr>
      <w:r>
        <w:rPr>
          <w:rFonts w:ascii="Arial" w:cs="Arial" w:eastAsia="Arial" w:hAnsi="Arial"/>
          <w:color w:val="334155"/>
          <w:sz w:val="22"/>
          <w:szCs w:val="22"/>
        </w:rPr>
        <w:t xml:space="preserve">This is the product feature that most directly realises the original project vision: transforming institutional paper archives into actionable intelligence. A land registry in Guyana should be able to ask 'which parcels in the coastal region have had more than two ownership transfers since 2020?' without writing SQL. A hospital administrator should see a dashboard showing patient record volume by department trending over 18 months. A customs office should receive an automatic weekly report flagging shipments whose declared values are statistical outliers against the commodity baseline.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Borders>
              <w:top w:val="none" w:color="FFFFFF" w:sz="0"/>
              <w:left w:val="none" w:color="FFFFFF" w:sz="0"/>
              <w:bottom w:val="none" w:color="FFFFFF" w:sz="0"/>
              <w:right w:val="none" w:color="FFFFFF" w:sz="0"/>
            </w:tcBorders>
            <w:shd w:fill="F0F9FF" w:val="clear"/>
            <w:tcMar>
              <w:top w:type="dxa" w:w="120"/>
              <w:left w:type="dxa" w:w="120"/>
              <w:bottom w:type="dxa" w:w="120"/>
              <w:right w:type="dxa" w:w="0"/>
            </w:tcMar>
          </w:tcPr>
          <w:p>
            <w:pPr>
              <w:jc w:val="center"/>
            </w:pPr>
            <w:r>
              <w:rPr>
                <w:rFonts w:ascii="Arial" w:cs="Arial" w:eastAsia="Arial" w:hAnsi="Arial"/>
                <w:sz w:val="24"/>
                <w:szCs w:val="24"/>
              </w:rPr>
              <w:t xml:space="preserve">✦</w:t>
            </w:r>
          </w:p>
        </w:tc>
        <w:tc>
          <w:tcPr>
            <w:tcBorders>
              <w:top w:val="none" w:color="FFFFFF" w:sz="0"/>
              <w:left w:val="none" w:color="FFFFFF" w:sz="0"/>
              <w:bottom w:val="none" w:color="FFFFFF" w:sz="0"/>
              <w:right w:val="none" w:color="FFFFFF" w:sz="0"/>
            </w:tcBorders>
            <w:shd w:fill="F0F9FF" w:val="clear"/>
            <w:tcMar>
              <w:top w:type="dxa" w:w="120"/>
              <w:left w:type="dxa" w:w="120"/>
              <w:bottom w:type="dxa" w:w="120"/>
              <w:right w:type="dxa" w:w="180"/>
            </w:tcMar>
          </w:tcPr>
          <w:p>
            <w:r>
              <w:rPr>
                <w:rFonts w:ascii="Arial" w:cs="Arial" w:eastAsia="Arial" w:hAnsi="Arial"/>
                <w:i/>
                <w:iCs/>
                <w:color w:val="1E293B"/>
                <w:sz w:val="20"/>
                <w:szCs w:val="20"/>
              </w:rPr>
              <w:t xml:space="preserve">PHASE 5 SCOPE: The Insights Engine is delivered as DocMaster v1.1 — an additive upgrade to v1.0. It introduces one new service (dm-insights.service), three new database schemas (dm_analytics, dm_graph, dm_reports), one new API domain (/dm/insights/), and a new UI section. It does not modify or replace any Phase 1–4 component.</w:t>
            </w:r>
          </w:p>
        </w:tc>
      </w:tr>
    </w:tbl>
    <w:p>
      <w:pPr>
        <w:spacing w:before="0" w:after="200"/>
      </w:pPr>
      <w:r>
        <w:t xml:space="preserve"/>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r>
              <w:rPr>
                <w:rFonts w:ascii="Arial" w:cs="Arial" w:eastAsia="Arial" w:hAnsi="Arial"/>
                <w:b/>
                <w:bCs/>
                <w:color w:val="FDE68A"/>
                <w:sz w:val="20"/>
                <w:szCs w:val="20"/>
              </w:rPr>
              <w:t xml:space="preserve">SECTION 2 — ARCHITECTURE OVERVIEW</w:t>
            </w:r>
          </w:p>
          <w:p>
            <w:r>
              <w:rPr>
                <w:rFonts w:ascii="Arial" w:cs="Arial" w:eastAsia="Arial" w:hAnsi="Arial"/>
                <w:color w:val="94A3B8"/>
                <w:sz w:val="18"/>
                <w:szCs w:val="18"/>
              </w:rPr>
              <w:t xml:space="preserve">How the Insights Engine fits into the DocMaster service stack</w:t>
            </w:r>
          </w:p>
        </w:tc>
      </w:tr>
    </w:tbl>
    <w:p>
      <w:pPr>
        <w:spacing w:before="0" w:after="80"/>
      </w:pPr>
      <w:r>
        <w:t xml:space="preserve"/>
      </w:r>
    </w:p>
    <w:p>
      <w:pPr>
        <w:pStyle w:val="Heading1"/>
        <w:pBdr>
          <w:bottom w:val="single" w:color="0E7490" w:sz="8" w:space="2"/>
        </w:pBdr>
        <w:spacing w:before="480" w:after="160"/>
      </w:pPr>
      <w:r>
        <w:rPr>
          <w:rFonts w:ascii="Arial" w:cs="Arial" w:eastAsia="Arial" w:hAnsi="Arial"/>
          <w:b/>
          <w:bCs/>
          <w:color w:val="1E293B"/>
          <w:sz w:val="40"/>
          <w:szCs w:val="40"/>
        </w:rPr>
        <w:t xml:space="preserve">Architecture Overview</w:t>
      </w:r>
    </w:p>
    <w:p>
      <w:pPr>
        <w:spacing w:before="60" w:after="100"/>
      </w:pPr>
      <w:r>
        <w:rPr>
          <w:rFonts w:ascii="Arial" w:cs="Arial" w:eastAsia="Arial" w:hAnsi="Arial"/>
          <w:color w:val="334155"/>
          <w:sz w:val="22"/>
          <w:szCs w:val="22"/>
        </w:rPr>
        <w:t xml:space="preserve">The Insights Engine is a read-only analytical layer. It consumes data from the existing dm_core and dm_flux schemas but never writes to them. All Insights Engine data lives in its own dm_analytics, dm_graph, and dm_reports schemas. This strict separation means any failure in the Insights Engine is completely isolated from the document processing pipeline. Ingestion, OCR, and extraction continue operating normally regardless of Insights Engine state.</w:t>
      </w:r>
    </w:p>
    <w:p>
      <w:pPr>
        <w:spacing w:before="0" w:after="120"/>
      </w:pPr>
      <w:r>
        <w:t xml:space="preserve"/>
      </w:r>
    </w:p>
    <w:p>
      <w:pPr>
        <w:pStyle w:val="Heading2"/>
        <w:spacing w:before="360" w:after="120"/>
      </w:pPr>
      <w:r>
        <w:rPr>
          <w:rFonts w:ascii="Arial" w:cs="Arial" w:eastAsia="Arial" w:hAnsi="Arial"/>
          <w:b/>
          <w:bCs/>
          <w:color w:val="0E7490"/>
          <w:sz w:val="30"/>
          <w:szCs w:val="30"/>
        </w:rPr>
        <w:t xml:space="preserve">2.1 Service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3900"/>
        <w:gridCol w:w="2560"/>
      </w:tblGrid>
      <w:tr>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Service</w:t>
            </w:r>
          </w:p>
        </w:tc>
        <w:tc>
          <w:tcPr>
            <w:tcW w:type="dxa" w:w="9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Port</w:t>
            </w:r>
          </w:p>
        </w:tc>
        <w:tc>
          <w:tcPr>
            <w:tcW w:type="dxa" w:w="39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25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Dependency</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dm-core.service</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8443</w:t>
            </w:r>
          </w:p>
        </w:tc>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Core API + UI. Existing Phase 4 service.</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postgresql, dm-mind, dm-flux</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dm-insights.service</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8444</w:t>
            </w:r>
          </w:p>
        </w:tc>
        <w:tc>
          <w:tcPr>
            <w:tcW w:type="dxa" w:w="3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Insights Engine API. New Phase 5 service.</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postgresql, dm-core (soft)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dm-flux.service</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w:t>
            </w:r>
          </w:p>
        </w:tc>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Queue worker. Existing. Unchanged.</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postgresql, dm-mind</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dm-mind.service</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11434</w:t>
            </w:r>
          </w:p>
        </w:tc>
        <w:tc>
          <w:tcPr>
            <w:tcW w:type="dxa" w:w="3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Ollama LLM. Existing. Now also used by Insights.</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dm-sentinel.service</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w:t>
            </w:r>
          </w:p>
        </w:tc>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Health monitor. Extended in Phase 5 to cover dm-insights.</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dm-bridge.service</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w:t>
            </w:r>
          </w:p>
        </w:tc>
        <w:tc>
          <w:tcPr>
            <w:tcW w:type="dxa" w:w="3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External connectors. Existing. Unchanged.</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dm-core</w:t>
            </w:r>
          </w:p>
        </w:tc>
      </w:tr>
    </w:tbl>
    <w:p>
      <w:pPr>
        <w:spacing w:before="0" w:after="120"/>
      </w:pPr>
      <w:r>
        <w:t xml:space="preserve"/>
      </w:r>
    </w:p>
    <w:p>
      <w:pPr>
        <w:pStyle w:val="Heading2"/>
        <w:spacing w:before="360" w:after="120"/>
      </w:pPr>
      <w:r>
        <w:rPr>
          <w:rFonts w:ascii="Arial" w:cs="Arial" w:eastAsia="Arial" w:hAnsi="Arial"/>
          <w:b/>
          <w:bCs/>
          <w:color w:val="0E7490"/>
          <w:sz w:val="30"/>
          <w:szCs w:val="30"/>
        </w:rPr>
        <w:t xml:space="preserve">2.2 Full Data Flow — Document to Insight</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
        <w:gridCol w:w="1560"/>
        <w:gridCol w:w="200"/>
        <w:gridCol w:w="1560"/>
        <w:gridCol w:w="200"/>
        <w:gridCol w:w="1560"/>
        <w:gridCol w:w="200"/>
        <w:gridCol w:w="1560"/>
        <w:gridCol w:w="200"/>
        <w:gridCol w:w="1560"/>
      </w:tblGrid>
      <w:tr>
        <w:tc>
          <w:tcPr>
            <w:tcW w:type="dxa" w:w="156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Ingest</w:t>
            </w:r>
          </w:p>
        </w:tc>
        <w:tc>
          <w:tcPr>
            <w:tcW w:type="dxa" w:w="200"/>
            <w:tcBorders>
              <w:top w:val="none" w:color="FFFFFF" w:sz="0"/>
              <w:left w:val="none" w:color="FFFFFF" w:sz="0"/>
              <w:bottom w:val="none" w:color="FFFFFF" w:sz="0"/>
              <w:right w:val="none" w:color="FFFFFF" w:sz="0"/>
            </w:tcBorders>
            <w:shd w:fill="FFFFFF" w:val="clear"/>
            <w:tcMar>
              <w:top w:type="dxa" w:w="80"/>
              <w:left w:type="dxa" w:w="0"/>
              <w:bottom w:type="dxa" w:w="80"/>
              <w:right w:type="dxa" w:w="0"/>
            </w:tcMar>
          </w:tcPr>
          <w:p>
            <w:pPr>
              <w:jc w:val="center"/>
            </w:pPr>
            <w:r>
              <w:rPr>
                <w:rFonts w:ascii="Arial" w:cs="Arial" w:eastAsia="Arial" w:hAnsi="Arial"/>
                <w:color w:val="64748B"/>
                <w:sz w:val="22"/>
                <w:szCs w:val="22"/>
              </w:rPr>
              <w:t xml:space="preserve">→</w:t>
            </w:r>
          </w:p>
        </w:tc>
        <w:tc>
          <w:tcPr>
            <w:tcW w:type="dxa" w:w="156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OCR + Extract</w:t>
            </w:r>
          </w:p>
        </w:tc>
        <w:tc>
          <w:tcPr>
            <w:tcW w:type="dxa" w:w="200"/>
            <w:tcBorders>
              <w:top w:val="none" w:color="FFFFFF" w:sz="0"/>
              <w:left w:val="none" w:color="FFFFFF" w:sz="0"/>
              <w:bottom w:val="none" w:color="FFFFFF" w:sz="0"/>
              <w:right w:val="none" w:color="FFFFFF" w:sz="0"/>
            </w:tcBorders>
            <w:shd w:fill="FFFFFF" w:val="clear"/>
            <w:tcMar>
              <w:top w:type="dxa" w:w="80"/>
              <w:left w:type="dxa" w:w="0"/>
              <w:bottom w:type="dxa" w:w="80"/>
              <w:right w:type="dxa" w:w="0"/>
            </w:tcMar>
          </w:tcPr>
          <w:p>
            <w:pPr>
              <w:jc w:val="center"/>
            </w:pPr>
            <w:r>
              <w:rPr>
                <w:rFonts w:ascii="Arial" w:cs="Arial" w:eastAsia="Arial" w:hAnsi="Arial"/>
                <w:color w:val="64748B"/>
                <w:sz w:val="22"/>
                <w:szCs w:val="22"/>
              </w:rPr>
              <w:t xml:space="preserve">→</w:t>
            </w:r>
          </w:p>
        </w:tc>
        <w:tc>
          <w:tcPr>
            <w:tcW w:type="dxa" w:w="156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dm_core vault</w:t>
            </w:r>
          </w:p>
        </w:tc>
        <w:tc>
          <w:tcPr>
            <w:tcW w:type="dxa" w:w="200"/>
            <w:tcBorders>
              <w:top w:val="none" w:color="FFFFFF" w:sz="0"/>
              <w:left w:val="none" w:color="FFFFFF" w:sz="0"/>
              <w:bottom w:val="none" w:color="FFFFFF" w:sz="0"/>
              <w:right w:val="none" w:color="FFFFFF" w:sz="0"/>
            </w:tcBorders>
            <w:shd w:fill="FFFFFF" w:val="clear"/>
            <w:tcMar>
              <w:top w:type="dxa" w:w="80"/>
              <w:left w:type="dxa" w:w="0"/>
              <w:bottom w:type="dxa" w:w="80"/>
              <w:right w:type="dxa" w:w="0"/>
            </w:tcMar>
          </w:tcPr>
          <w:p>
            <w:pPr>
              <w:jc w:val="center"/>
            </w:pPr>
            <w:r>
              <w:rPr>
                <w:rFonts w:ascii="Arial" w:cs="Arial" w:eastAsia="Arial" w:hAnsi="Arial"/>
                <w:color w:val="64748B"/>
                <w:sz w:val="22"/>
                <w:szCs w:val="22"/>
              </w:rPr>
              <w:t xml:space="preserve">→</w:t>
            </w:r>
          </w:p>
        </w:tc>
        <w:tc>
          <w:tcPr>
            <w:tcW w:type="dxa" w:w="156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Insights Indexer</w:t>
            </w:r>
          </w:p>
        </w:tc>
        <w:tc>
          <w:tcPr>
            <w:tcW w:type="dxa" w:w="200"/>
            <w:tcBorders>
              <w:top w:val="none" w:color="FFFFFF" w:sz="0"/>
              <w:left w:val="none" w:color="FFFFFF" w:sz="0"/>
              <w:bottom w:val="none" w:color="FFFFFF" w:sz="0"/>
              <w:right w:val="none" w:color="FFFFFF" w:sz="0"/>
            </w:tcBorders>
            <w:shd w:fill="FFFFFF" w:val="clear"/>
            <w:tcMar>
              <w:top w:type="dxa" w:w="80"/>
              <w:left w:type="dxa" w:w="0"/>
              <w:bottom w:type="dxa" w:w="80"/>
              <w:right w:type="dxa" w:w="0"/>
            </w:tcMar>
          </w:tcPr>
          <w:p>
            <w:pPr>
              <w:jc w:val="center"/>
            </w:pPr>
            <w:r>
              <w:rPr>
                <w:rFonts w:ascii="Arial" w:cs="Arial" w:eastAsia="Arial" w:hAnsi="Arial"/>
                <w:color w:val="64748B"/>
                <w:sz w:val="22"/>
                <w:szCs w:val="22"/>
              </w:rPr>
              <w:t xml:space="preserve">→</w:t>
            </w:r>
          </w:p>
        </w:tc>
        <w:tc>
          <w:tcPr>
            <w:tcW w:type="dxa" w:w="156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dm_analytics / dm_graph</w:t>
            </w:r>
          </w:p>
        </w:tc>
        <w:tc>
          <w:tcPr>
            <w:tcW w:type="dxa" w:w="200"/>
            <w:tcBorders>
              <w:top w:val="none" w:color="FFFFFF" w:sz="0"/>
              <w:left w:val="none" w:color="FFFFFF" w:sz="0"/>
              <w:bottom w:val="none" w:color="FFFFFF" w:sz="0"/>
              <w:right w:val="none" w:color="FFFFFF" w:sz="0"/>
            </w:tcBorders>
            <w:shd w:fill="FFFFFF" w:val="clear"/>
            <w:tcMar>
              <w:top w:type="dxa" w:w="80"/>
              <w:left w:type="dxa" w:w="0"/>
              <w:bottom w:type="dxa" w:w="80"/>
              <w:right w:type="dxa" w:w="0"/>
            </w:tcMar>
          </w:tcPr>
          <w:p>
            <w:pPr>
              <w:jc w:val="center"/>
            </w:pPr>
            <w:r>
              <w:rPr>
                <w:rFonts w:ascii="Arial" w:cs="Arial" w:eastAsia="Arial" w:hAnsi="Arial"/>
                <w:color w:val="64748B"/>
                <w:sz w:val="22"/>
                <w:szCs w:val="22"/>
              </w:rPr>
              <w:t xml:space="preserve">→</w:t>
            </w:r>
          </w:p>
        </w:tc>
        <w:tc>
          <w:tcPr>
            <w:tcW w:type="dxa" w:w="156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Query &amp; Report</w:t>
            </w:r>
          </w:p>
        </w:tc>
      </w:tr>
    </w:tbl>
    <w:p>
      <w:pPr>
        <w:spacing w:before="0" w:after="120"/>
      </w:pPr>
      <w:r>
        <w:t xml:space="preserve"/>
      </w:r>
    </w:p>
    <w:p>
      <w:pPr>
        <w:spacing w:before="60" w:after="100"/>
      </w:pPr>
      <w:r>
        <w:rPr>
          <w:rFonts w:ascii="Arial" w:cs="Arial" w:eastAsia="Arial" w:hAnsi="Arial"/>
          <w:color w:val="334155"/>
          <w:sz w:val="22"/>
          <w:szCs w:val="22"/>
        </w:rPr>
        <w:t xml:space="preserve">The Insights Indexer is the core background process inside dm-insights.service. It runs continuously, polling dm_core.documents for records that have not yet been indexed for analytics (tracked via dm_analytics.index_state). For each unindexed document, it reads the extracted_json, runs entity extraction via a lightweight Ollama prompt, updates the entity graph, recalculates aggregates, and marks the document as indexed. The indexer is designed to process the entire historical vault on first run and then maintain near-real-time currency as new documents arrive.</w:t>
      </w:r>
    </w:p>
    <w:p>
      <w:pPr>
        <w:spacing w:before="0" w:after="120"/>
      </w:pPr>
      <w:r>
        <w:t xml:space="preserve"/>
      </w:r>
    </w:p>
    <w:p>
      <w:pPr>
        <w:pStyle w:val="Heading2"/>
        <w:spacing w:before="360" w:after="120"/>
      </w:pPr>
      <w:r>
        <w:rPr>
          <w:rFonts w:ascii="Arial" w:cs="Arial" w:eastAsia="Arial" w:hAnsi="Arial"/>
          <w:b/>
          <w:bCs/>
          <w:color w:val="0E7490"/>
          <w:sz w:val="30"/>
          <w:szCs w:val="30"/>
        </w:rPr>
        <w:t xml:space="preserve">2.3 New Directory Structure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80"/>
              <w:left w:type="dxa" w:w="180"/>
              <w:bottom w:type="dxa" w:w="0"/>
              <w:right w:type="dxa" w:w="180"/>
            </w:tcMar>
          </w:tcP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/opt/docmaster/</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bin/</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 dm-insights        ← new Phase 5 binary (Insights Engine service)</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config/</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 insights.yaml      ← Insights Engine configuration (thresholds, schedule, report templates)</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reports/               ← NEW: generated report output files (PDF, CSV, XLSX)</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 scheduled/         ← auto-generated scheduled reports</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 on-demand/         ← operator-triggered on-demand reports</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logs/</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 insights.log       ← dedicated log for dm-insights.service</w:t>
            </w:r>
          </w:p>
        </w:tc>
      </w:tr>
      <w:tr>
        <w:tc>
          <w:tcPr>
            <w:tcBorders>
              <w:top w:val="none" w:color="FFFFFF" w:sz="0"/>
              <w:left w:val="none" w:color="FFFFFF" w:sz="0"/>
              <w:bottom w:val="none" w:color="FFFFFF" w:sz="0"/>
              <w:right w:val="none" w:color="FFFFFF" w:sz="0"/>
            </w:tcBorders>
            <w:shd w:fill="0F172A" w:val="clear"/>
            <w:tcMar>
              <w:top w:type="dxa" w:w="0"/>
              <w:left w:type="dxa" w:w="180"/>
              <w:bottom w:type="dxa" w:w="80"/>
              <w:right w:type="dxa" w:w="180"/>
            </w:tcMar>
          </w:tcPr>
          <w:p/>
        </w:tc>
      </w:tr>
    </w:tbl>
    <w:p>
      <w:pPr>
        <w:spacing w:before="0" w:after="200"/>
      </w:pPr>
      <w:r>
        <w:t xml:space="preserve"/>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r>
              <w:rPr>
                <w:rFonts w:ascii="Arial" w:cs="Arial" w:eastAsia="Arial" w:hAnsi="Arial"/>
                <w:b/>
                <w:bCs/>
                <w:color w:val="FDE68A"/>
                <w:sz w:val="20"/>
                <w:szCs w:val="20"/>
              </w:rPr>
              <w:t xml:space="preserve">SECTION 3 — DATABASE SCHEMA: INSIGHTS LAYER</w:t>
            </w:r>
          </w:p>
          <w:p>
            <w:r>
              <w:rPr>
                <w:rFonts w:ascii="Arial" w:cs="Arial" w:eastAsia="Arial" w:hAnsi="Arial"/>
                <w:color w:val="94A3B8"/>
                <w:sz w:val="18"/>
                <w:szCs w:val="18"/>
              </w:rPr>
              <w:t xml:space="preserve">dm_analytics, dm_graph, dm_reports schemas</w:t>
            </w:r>
          </w:p>
        </w:tc>
      </w:tr>
    </w:tbl>
    <w:p>
      <w:pPr>
        <w:spacing w:before="0" w:after="80"/>
      </w:pPr>
      <w:r>
        <w:t xml:space="preserve"/>
      </w:r>
    </w:p>
    <w:p>
      <w:pPr>
        <w:pStyle w:val="Heading1"/>
        <w:pBdr>
          <w:bottom w:val="single" w:color="0E7490" w:sz="8" w:space="2"/>
        </w:pBdr>
        <w:spacing w:before="480" w:after="160"/>
      </w:pPr>
      <w:r>
        <w:rPr>
          <w:rFonts w:ascii="Arial" w:cs="Arial" w:eastAsia="Arial" w:hAnsi="Arial"/>
          <w:b/>
          <w:bCs/>
          <w:color w:val="1E293B"/>
          <w:sz w:val="40"/>
          <w:szCs w:val="40"/>
        </w:rPr>
        <w:t xml:space="preserve">Database Schema: Insights Layer</w:t>
      </w:r>
    </w:p>
    <w:p>
      <w:pPr>
        <w:spacing w:before="60" w:after="100"/>
      </w:pPr>
      <w:r>
        <w:rPr>
          <w:rFonts w:ascii="Arial" w:cs="Arial" w:eastAsia="Arial" w:hAnsi="Arial"/>
          <w:color w:val="334155"/>
          <w:sz w:val="22"/>
          <w:szCs w:val="22"/>
        </w:rPr>
        <w:t xml:space="preserve">Three new schemas are added to the existing dm_vault PostgreSQL database. They are read-dependent on dm_core but write-independent — no foreign key constraints cross from the Insights schemas back into dm_core, preventing any Insights Engine write from ever blocking or corrupting the core pipeline.</w:t>
      </w:r>
    </w:p>
    <w:p>
      <w:pPr>
        <w:spacing w:before="0" w:after="80"/>
      </w:pPr>
      <w:r>
        <w:t xml:space="preserve"/>
      </w:r>
    </w:p>
    <w:p>
      <w:pPr>
        <w:pStyle w:val="Heading2"/>
        <w:spacing w:before="360" w:after="120"/>
      </w:pPr>
      <w:r>
        <w:rPr>
          <w:rFonts w:ascii="Arial" w:cs="Arial" w:eastAsia="Arial" w:hAnsi="Arial"/>
          <w:b/>
          <w:bCs/>
          <w:color w:val="0E7490"/>
          <w:sz w:val="30"/>
          <w:szCs w:val="30"/>
        </w:rPr>
        <w:t xml:space="preserve">3.1 dm_analytics Schema — Aggregates &amp; Trend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80"/>
              <w:left w:type="dxa" w:w="180"/>
              <w:bottom w:type="dxa" w:w="0"/>
              <w:right w:type="dxa" w:w="180"/>
            </w:tcMar>
          </w:tcP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Tracks which documents have been processed by the Insights Indexer</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CREATE TABLE dm_analytics.index_state (</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document_id    UUID PRIMARY KEY,  -- mirrors dm_core.documents.id (no FK — read-only ref)</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indexed_at     TIMESTAMPTZ NOT NULL DEFAULT NOW(),</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entity_count   INTEGER DEFAULT 0,</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anomaly_flags  INTEGER DEFAULT 0</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Time-bucketed document volume metrics</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CREATE TABLE dm_analytics.volume_metrics (</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id             BIGSERIAL PRIMARY KEY,</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bucket_start   TIMESTAMPTZ NOT NULL,</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bucket_size    VARCHAR(16) NOT NULL,   -- 'hour' | 'day' | 'week' | 'month'</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doc_type       VARCHAR(64),            -- NULL = all types</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source_channel VARCHAR(64),            -- NULL = all channels</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doc_count      INTEGER NOT NULL DEFAULT 0,</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avg_confidence NUMERIC(5,2),</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failed_count   INTEGER NOT NULL DEFAULT 0</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CREATE UNIQUE INDEX dm_analytics_volume_unique</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ON dm_analytics.volume_metrics(bucket_start, bucket_size, COALESCE(doc_type,'*'), COALESCE(source_channel,'*'));</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Field-level aggregate statistics per document type</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CREATE TABLE dm_analytics.field_stats (</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id             BIGSERIAL PRIMARY KEY,</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doc_type       VARCHAR(64) NOT NULL,</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field_name     VARCHAR(128) NOT NULL,</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sample_count   INTEGER NOT NULL,</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avg_confidence NUMERIC(5,2),</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null_rate      NUMERIC(5,4),           -- fraction of docs where this field was empty</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updated_at     TIMESTAMPTZ NOT NULL DEFAULT NOW()</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Anomaly records — statistical outliers flagged by the Insights Engine</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CREATE TABLE dm_analytics.anomalies (</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id             UUID PRIMARY KEY DEFAULT gen_random_uuid(),</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document_id    UUID NOT NULL,          -- references dm_core.documents.id</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field_name     VARCHAR(128),</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anomaly_type   VARCHAR(64) NOT NULL,   -- 'value_outlier' | 'date_mismatch' | 'duplicate_entity' | 'confidence_drop'</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severity       VARCHAR(16) NOT NULL,   -- 'info' | 'warning' | 'critical'</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detail         JSONB,                  -- context: expected_range, actual_value, z_score, etc.</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acknowledged   BOOLEAN NOT NULL DEFAULT false,</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acknowledged_by UUID,</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detected_at    TIMESTAMPTZ NOT NULL DEFAULT NOW()</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CREATE INDEX dm_analytics_anomalies_doc ON dm_analytics.anomalies(document_id);</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CREATE INDEX dm_analytics_anomalies_severity ON dm_analytics.anomalies(severity, acknowledged);</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Computed insight snapshots (cached query results for UI performance)</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CREATE TABLE dm_analytics.insight_cache (</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cache_key      VARCHAR(256) PRIMARY KEY,</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result_json    JSONB NOT NULL,</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computed_at    TIMESTAMPTZ NOT NULL DEFAULT NOW(),</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expires_at     TIMESTAMPTZ NOT NULL</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w:t>
            </w:r>
          </w:p>
        </w:tc>
      </w:tr>
      <w:tr>
        <w:tc>
          <w:tcPr>
            <w:tcBorders>
              <w:top w:val="none" w:color="FFFFFF" w:sz="0"/>
              <w:left w:val="none" w:color="FFFFFF" w:sz="0"/>
              <w:bottom w:val="none" w:color="FFFFFF" w:sz="0"/>
              <w:right w:val="none" w:color="FFFFFF" w:sz="0"/>
            </w:tcBorders>
            <w:shd w:fill="0F172A" w:val="clear"/>
            <w:tcMar>
              <w:top w:type="dxa" w:w="0"/>
              <w:left w:type="dxa" w:w="180"/>
              <w:bottom w:type="dxa" w:w="80"/>
              <w:right w:type="dxa" w:w="180"/>
            </w:tcMar>
          </w:tcPr>
          <w:p/>
        </w:tc>
      </w:tr>
    </w:tbl>
    <w:p>
      <w:pPr>
        <w:spacing w:before="0" w:after="120"/>
      </w:pPr>
      <w:r>
        <w:t xml:space="preserve"/>
      </w:r>
    </w:p>
    <w:p>
      <w:pPr>
        <w:pStyle w:val="Heading2"/>
        <w:spacing w:before="360" w:after="120"/>
      </w:pPr>
      <w:r>
        <w:rPr>
          <w:rFonts w:ascii="Arial" w:cs="Arial" w:eastAsia="Arial" w:hAnsi="Arial"/>
          <w:b/>
          <w:bCs/>
          <w:color w:val="0E7490"/>
          <w:sz w:val="30"/>
          <w:szCs w:val="30"/>
        </w:rPr>
        <w:t xml:space="preserve">3.2 dm_graph Schema — Entity Relationship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80"/>
              <w:left w:type="dxa" w:w="180"/>
              <w:bottom w:type="dxa" w:w="0"/>
              <w:right w:type="dxa" w:w="180"/>
            </w:tcMar>
          </w:tcP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Entities extracted from documents (people, organisations, properties, dates, amounts)</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CREATE TABLE dm_graph.entities (</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id             UUID PRIMARY KEY DEFAULT gen_random_uuid(),</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entity_type    VARCHAR(64) NOT NULL,   -- 'person' | 'organisation' | 'property' | 'location' | 'amount' | 'date_ref'</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canonical_name VARCHAR(512) NOT NULL,  -- normalised name (lowercase, deduped)</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aliases        TEXT[],                 -- other spellings found in documents</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first_seen_at  TIMESTAMPTZ NOT NULL DEFAULT NOW(),</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last_seen_at   TIMESTAMPTZ NOT NULL DEFAULT NOW(),</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document_count INTEGER NOT NULL DEFAULT 1</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CREATE INDEX dm_graph_entities_type ON dm_graph.entities(entity_type);</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CREATE INDEX dm_graph_entities_name ON dm_graph.entities USING gin(to_tsvector('simple', canonical_name));</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Links between entities and the documents they appear in</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CREATE TABLE dm_graph.entity_mentions (</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id             BIGSERIAL PRIMARY KEY,</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entity_id      UUID NOT NULL REFERENCES dm_graph.entities(id) ON DELETE CASCADE,</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document_id    UUID NOT NULL,</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field_name     VARCHAR(128),           -- which extracted field contained this entity</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mention_text   VARCHAR(512),           -- raw text as it appeared</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confidence     NUMERIC(5,2),</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mentioned_at   TIMESTAMPTZ NOT NULL DEFAULT NOW()</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CREATE INDEX dm_graph_mentions_entity ON dm_graph.entity_mentions(entity_id);</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CREATE INDEX dm_graph_mentions_doc    ON dm_graph.entity_mentions(document_id);</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Relationships between two entities (co-occurrence in same document)</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CREATE TABLE dm_graph.entity_relationships (</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id             BIGSERIAL PRIMARY KEY,</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entity_a_id    UUID NOT NULL REFERENCES dm_graph.entities(id) ON DELETE CASCADE,</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entity_b_id    UUID NOT NULL REFERENCES dm_graph.entities(id) ON DELETE CASCADE,</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relationship   VARCHAR(128),           -- 'owns' | 'party_to' | 'located_at' | 'co_signatory' | 'co_appears'</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document_count INTEGER NOT NULL DEFAULT 1,  -- how many docs establish this relationship</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first_seen_at  TIMESTAMPTZ NOT NULL DEFAULT NOW(),</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last_seen_at   TIMESTAMPTZ NOT NULL DEFAULT NOW(),</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CHECK (entity_a_id &lt;&gt; entity_b_id)</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CREATE UNIQUE INDEX dm_graph_rel_unique ON dm_graph.entity_relationships(LEAST(entity_a_id::text, entity_b_id::text)::uuid, GREATEST(entity_a_id::text, entity_b_id::text)::uuid, relationship);</w:t>
            </w:r>
          </w:p>
        </w:tc>
      </w:tr>
      <w:tr>
        <w:tc>
          <w:tcPr>
            <w:tcBorders>
              <w:top w:val="none" w:color="FFFFFF" w:sz="0"/>
              <w:left w:val="none" w:color="FFFFFF" w:sz="0"/>
              <w:bottom w:val="none" w:color="FFFFFF" w:sz="0"/>
              <w:right w:val="none" w:color="FFFFFF" w:sz="0"/>
            </w:tcBorders>
            <w:shd w:fill="0F172A" w:val="clear"/>
            <w:tcMar>
              <w:top w:type="dxa" w:w="0"/>
              <w:left w:type="dxa" w:w="180"/>
              <w:bottom w:type="dxa" w:w="80"/>
              <w:right w:type="dxa" w:w="180"/>
            </w:tcMar>
          </w:tcPr>
          <w:p/>
        </w:tc>
      </w:tr>
    </w:tbl>
    <w:p>
      <w:pPr>
        <w:spacing w:before="0" w:after="120"/>
      </w:pPr>
      <w:r>
        <w:t xml:space="preserve"/>
      </w:r>
    </w:p>
    <w:p>
      <w:pPr>
        <w:pStyle w:val="Heading2"/>
        <w:spacing w:before="360" w:after="120"/>
      </w:pPr>
      <w:r>
        <w:rPr>
          <w:rFonts w:ascii="Arial" w:cs="Arial" w:eastAsia="Arial" w:hAnsi="Arial"/>
          <w:b/>
          <w:bCs/>
          <w:color w:val="0E7490"/>
          <w:sz w:val="30"/>
          <w:szCs w:val="30"/>
        </w:rPr>
        <w:t xml:space="preserve">3.3 dm_reports Schema — Scheduled &amp; On-Demand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80"/>
              <w:left w:type="dxa" w:w="180"/>
              <w:bottom w:type="dxa" w:w="0"/>
              <w:right w:type="dxa" w:w="180"/>
            </w:tcMar>
          </w:tcP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Report template definitions</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CREATE TABLE dm_reports.report_templates (</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id             UUID PRIMARY KEY DEFAULT gen_random_uuid(),</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name           VARCHAR(256) NOT NULL,</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description    TEXT,</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report_type    VARCHAR(64) NOT NULL,   -- 'volume' | 'confidence' | 'entity' | 'anomaly' | 'custom_nl'</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config         JSONB NOT NULL,         -- filters, groupings, date range, NL query if custom</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output_format  VARCHAR(16) NOT NULL DEFAULT 'pdf',  -- 'pdf' | 'csv' | 'xlsx'</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created_by     UUID,</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created_at     TIMESTAMPTZ NOT NULL DEFAULT NOW()</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Scheduled report jobs (powered by cron + dm-insights)</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CREATE TABLE dm_reports.scheduled_reports (</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id             UUID PRIMARY KEY DEFAULT gen_random_uuid(),</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template_id    UUID NOT NULL REFERENCES dm_reports.report_templates(id),</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cron_expr      VARCHAR(64) NOT NULL,   -- e.g. '0 8 * * 1' = every Monday 08:00</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email_to       TEXT[],                 -- optional: send to these addresses on completion</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webhook_url    VARCHAR(1024),          -- optional: POST completed file to this URL</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is_active      BOOLEAN NOT NULL DEFAULT true,</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last_run_at    TIMESTAMPTZ,</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next_run_at    TIMESTAMPTZ</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Report execution history and output file locations</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CREATE TABLE dm_reports.report_runs (</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id             UUID PRIMARY KEY DEFAULT gen_random_uuid(),</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template_id    UUID NOT NULL REFERENCES dm_reports.report_templates(id),</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triggered_by   VARCHAR(64) NOT NULL,   -- 'schedule' | 'operator_ui' | 'api'</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status         VARCHAR(32) NOT NULL DEFAULT 'queued',  -- queued|running|complete|failed</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output_path    VARCHAR(1024),          -- /opt/docmaster/reports/{scheduled|on-demand}/{id}.{ext}</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row_count      INTEGER,</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duration_ms    INTEGER,</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error_msg      TEXT,</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queued_at      TIMESTAMPTZ NOT NULL DEFAULT NOW(),</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completed_at   TIMESTAMPTZ</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w:t>
            </w:r>
          </w:p>
        </w:tc>
      </w:tr>
      <w:tr>
        <w:tc>
          <w:tcPr>
            <w:tcBorders>
              <w:top w:val="none" w:color="FFFFFF" w:sz="0"/>
              <w:left w:val="none" w:color="FFFFFF" w:sz="0"/>
              <w:bottom w:val="none" w:color="FFFFFF" w:sz="0"/>
              <w:right w:val="none" w:color="FFFFFF" w:sz="0"/>
            </w:tcBorders>
            <w:shd w:fill="0F172A" w:val="clear"/>
            <w:tcMar>
              <w:top w:type="dxa" w:w="0"/>
              <w:left w:type="dxa" w:w="180"/>
              <w:bottom w:type="dxa" w:w="80"/>
              <w:right w:type="dxa" w:w="180"/>
            </w:tcMar>
          </w:tcPr>
          <w:p/>
        </w:tc>
      </w:tr>
    </w:tbl>
    <w:p>
      <w:pPr>
        <w:spacing w:before="0" w:after="200"/>
      </w:pPr>
      <w:r>
        <w:t xml:space="preserve"/>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r>
              <w:rPr>
                <w:rFonts w:ascii="Arial" w:cs="Arial" w:eastAsia="Arial" w:hAnsi="Arial"/>
                <w:b/>
                <w:bCs/>
                <w:color w:val="FDE68A"/>
                <w:sz w:val="20"/>
                <w:szCs w:val="20"/>
              </w:rPr>
              <w:t xml:space="preserve">SECTION 4 — INSIGHTS ENGINE COMPONENTS</w:t>
            </w:r>
          </w:p>
          <w:p>
            <w:r>
              <w:rPr>
                <w:rFonts w:ascii="Arial" w:cs="Arial" w:eastAsia="Arial" w:hAnsi="Arial"/>
                <w:color w:val="94A3B8"/>
                <w:sz w:val="18"/>
                <w:szCs w:val="18"/>
              </w:rPr>
              <w:t xml:space="preserve">Six functional modules within dm-insights.service</w:t>
            </w:r>
          </w:p>
        </w:tc>
      </w:tr>
    </w:tbl>
    <w:p>
      <w:pPr>
        <w:spacing w:before="0" w:after="80"/>
      </w:pPr>
      <w:r>
        <w:t xml:space="preserve"/>
      </w:r>
    </w:p>
    <w:p>
      <w:pPr>
        <w:pStyle w:val="Heading1"/>
        <w:pBdr>
          <w:bottom w:val="single" w:color="0E7490" w:sz="8" w:space="2"/>
        </w:pBdr>
        <w:spacing w:before="480" w:after="160"/>
      </w:pPr>
      <w:r>
        <w:rPr>
          <w:rFonts w:ascii="Arial" w:cs="Arial" w:eastAsia="Arial" w:hAnsi="Arial"/>
          <w:b/>
          <w:bCs/>
          <w:color w:val="1E293B"/>
          <w:sz w:val="40"/>
          <w:szCs w:val="40"/>
        </w:rPr>
        <w:t xml:space="preserve">Insights Engine Components</w:t>
      </w:r>
    </w:p>
    <w:p>
      <w:pPr>
        <w:spacing w:before="60" w:after="100"/>
      </w:pPr>
      <w:r>
        <w:rPr>
          <w:rFonts w:ascii="Arial" w:cs="Arial" w:eastAsia="Arial" w:hAnsi="Arial"/>
          <w:color w:val="334155"/>
          <w:sz w:val="22"/>
          <w:szCs w:val="22"/>
        </w:rPr>
        <w:t xml:space="preserve">The dm-insights.service binary is composed of six functional modules that operate independently within the same process. Each module can be individually enabled or disabled via insights.yaml. A failure in one module (e.g., anomaly detection) does not prevent other modules (e.g., trend analytics) from operating.</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4200"/>
        <w:gridCol w:w="2860"/>
      </w:tblGrid>
      <w:tr>
        <w:tc>
          <w:tcPr>
            <w:tcW w:type="dxa" w:w="5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Module</w:t>
            </w:r>
          </w:p>
        </w:tc>
        <w:tc>
          <w:tcPr>
            <w:tcW w:type="dxa" w:w="1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Name</w:t>
            </w:r>
          </w:p>
        </w:tc>
        <w:tc>
          <w:tcPr>
            <w:tcW w:type="dxa" w:w="4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What It Does</w:t>
            </w:r>
          </w:p>
        </w:tc>
        <w:tc>
          <w:tcPr>
            <w:tcW w:type="dxa" w:w="28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Key Output</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1</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Insights Indexer</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Background worker that reads newly processed documents and feeds them into all analytics modules. The entry point for all Phase 5 intelligence.</w:t>
            </w:r>
          </w:p>
        </w:tc>
        <w:tc>
          <w:tcPr>
            <w:tcW w:type="dxa" w:w="2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dm_analytics.index_state populated for every document</w:t>
            </w:r>
          </w:p>
        </w:tc>
      </w:tr>
      <w:tr>
        <w:tc>
          <w:tcPr>
            <w:tcW w:type="dxa" w:w="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2</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Trend Engine</w:t>
            </w:r>
          </w:p>
        </w:tc>
        <w:tc>
          <w:tcPr>
            <w:tcW w:type="dxa" w:w="4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Computes time-bucketed volume, confidence, and failure metrics. Updates dm_analytics.volume_metrics continuously. Powers the trend charts in the UI.</w:t>
            </w:r>
          </w:p>
        </w:tc>
        <w:tc>
          <w:tcPr>
            <w:tcW w:type="dxa" w:w="2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Volume/confidence charts, daily summaries</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3</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Entity Extractor</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Runs a targeted Ollama prompt on each document's extracted_json to identify named entities (people, organisations, properties, amounts). Deduplicates and builds the entity graph.</w:t>
            </w:r>
          </w:p>
        </w:tc>
        <w:tc>
          <w:tcPr>
            <w:tcW w:type="dxa" w:w="2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dm_graph.entities, dm_graph.entity_mentions, dm_graph.entity_relationships</w:t>
            </w:r>
          </w:p>
        </w:tc>
      </w:tr>
      <w:tr>
        <w:tc>
          <w:tcPr>
            <w:tcW w:type="dxa" w:w="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4</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Anomaly Detector</w:t>
            </w:r>
          </w:p>
        </w:tc>
        <w:tc>
          <w:tcPr>
            <w:tcW w:type="dxa" w:w="4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Applies statistical tests (Z-score, IQR) to numeric fields and date fields in extracted_json. Flags outliers as anomalies in dm_analytics.anomalies.</w:t>
            </w:r>
          </w:p>
        </w:tc>
        <w:tc>
          <w:tcPr>
            <w:tcW w:type="dxa" w:w="2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Anomaly records with severity and detail context</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5</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NL Query Engine</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Accepts a natural language question from the operator, converts it to a structured database query via Ollama, executes the query safely against the vault, and returns plain-language results.</w:t>
            </w:r>
          </w:p>
        </w:tc>
        <w:tc>
          <w:tcPr>
            <w:tcW w:type="dxa" w:w="2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API response: answer text + supporting document list</w:t>
            </w:r>
          </w:p>
        </w:tc>
      </w:tr>
      <w:tr>
        <w:tc>
          <w:tcPr>
            <w:tcW w:type="dxa" w:w="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6</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Report Generator</w:t>
            </w:r>
          </w:p>
        </w:tc>
        <w:tc>
          <w:tcPr>
            <w:tcW w:type="dxa" w:w="4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Executes report templates (scheduled or on-demand) against the analytics schemas and produces output files (PDF, CSV, XLSX) saved to /opt/docmaster/reports/.</w:t>
            </w:r>
          </w:p>
        </w:tc>
        <w:tc>
          <w:tcPr>
            <w:tcW w:type="dxa" w:w="2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Output files + dm_reports.report_runs record</w:t>
            </w:r>
          </w:p>
        </w:tc>
      </w:tr>
    </w:tbl>
    <w:p>
      <w:pPr>
        <w:spacing w:before="0" w:after="200"/>
      </w:pPr>
      <w:r>
        <w:t xml:space="preserve"/>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r>
              <w:rPr>
                <w:rFonts w:ascii="Arial" w:cs="Arial" w:eastAsia="Arial" w:hAnsi="Arial"/>
                <w:b/>
                <w:bCs/>
                <w:color w:val="FDE68A"/>
                <w:sz w:val="20"/>
                <w:szCs w:val="20"/>
              </w:rPr>
              <w:t xml:space="preserve">SECTION 5 — COMPONENT DEEP DIVES</w:t>
            </w:r>
          </w:p>
          <w:p>
            <w:r>
              <w:rPr>
                <w:rFonts w:ascii="Arial" w:cs="Arial" w:eastAsia="Arial" w:hAnsi="Arial"/>
                <w:color w:val="94A3B8"/>
                <w:sz w:val="18"/>
                <w:szCs w:val="18"/>
              </w:rPr>
              <w:t xml:space="preserve">Module-by-module technical specification</w:t>
            </w:r>
          </w:p>
        </w:tc>
      </w:tr>
    </w:tbl>
    <w:p>
      <w:pPr>
        <w:spacing w:before="0" w:after="80"/>
      </w:pPr>
      <w:r>
        <w:t xml:space="preserve"/>
      </w:r>
    </w:p>
    <w:p>
      <w:pPr>
        <w:pStyle w:val="Heading1"/>
        <w:pBdr>
          <w:bottom w:val="single" w:color="0E7490" w:sz="8" w:space="2"/>
        </w:pBdr>
        <w:spacing w:before="480" w:after="160"/>
      </w:pPr>
      <w:r>
        <w:rPr>
          <w:rFonts w:ascii="Arial" w:cs="Arial" w:eastAsia="Arial" w:hAnsi="Arial"/>
          <w:b/>
          <w:bCs/>
          <w:color w:val="1E293B"/>
          <w:sz w:val="40"/>
          <w:szCs w:val="40"/>
        </w:rPr>
        <w:t xml:space="preserve">Component Deep Dives</w:t>
      </w:r>
    </w:p>
    <w:p>
      <w:pPr>
        <w:pStyle w:val="Heading2"/>
        <w:spacing w:before="360" w:after="120"/>
      </w:pPr>
      <w:r>
        <w:rPr>
          <w:rFonts w:ascii="Arial" w:cs="Arial" w:eastAsia="Arial" w:hAnsi="Arial"/>
          <w:b/>
          <w:bCs/>
          <w:color w:val="0E7490"/>
          <w:sz w:val="30"/>
          <w:szCs w:val="30"/>
        </w:rPr>
        <w:t xml:space="preserve">5.1 Module 1 — Insights Indexer</w:t>
      </w:r>
    </w:p>
    <w:p>
      <w:pPr>
        <w:spacing w:before="60" w:after="100"/>
      </w:pPr>
      <w:r>
        <w:rPr>
          <w:rFonts w:ascii="Arial" w:cs="Arial" w:eastAsia="Arial" w:hAnsi="Arial"/>
          <w:color w:val="334155"/>
          <w:sz w:val="22"/>
          <w:szCs w:val="22"/>
        </w:rPr>
        <w:t xml:space="preserve">The Insights Indexer is the gatekeeper of the analytics layer. It runs as a continuous loop inside dm-insights.service, querying dm_core.documents for any record that does not yet have a corresponding row in dm_analytics.index_state. The query is batched — up to 50 documents per cycle — and processed in parallel using a configurable thread pool.</w:t>
      </w:r>
    </w:p>
    <w:p>
      <w:pPr>
        <w:spacing w:before="0" w:after="80"/>
      </w:pPr>
      <w:r>
        <w:t xml:space="preserve"/>
      </w:r>
    </w:p>
    <w:p>
      <w:pPr>
        <w:spacing w:before="240" w:after="80"/>
      </w:pPr>
      <w:r>
        <w:rPr>
          <w:rFonts w:ascii="Arial" w:cs="Arial" w:eastAsia="Arial" w:hAnsi="Arial"/>
          <w:b/>
          <w:bCs/>
          <w:color w:val="1E293B"/>
          <w:sz w:val="24"/>
          <w:szCs w:val="24"/>
        </w:rPr>
        <w:t xml:space="preserve">Indexer Loop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80"/>
              <w:left w:type="dxa" w:w="180"/>
              <w:bottom w:type="dxa" w:w="0"/>
              <w:right w:type="dxa" w:w="180"/>
            </w:tcMar>
          </w:tcP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LOOP every 15 seconds:</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1. SELECT d.id, d.doc_type, d.extracted_json, d.confidence</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FROM dm_core.documents d</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LEFT JOIN dm_analytics.index_state s ON d.id = s.document_id</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WHERE s.document_id IS NULL</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AND d.status = 'complete'</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ORDER BY d.created_at ASC</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LIMIT 50;</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2. For each unindexed document:</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a. Feed to Trend Engine   → update dm_analytics.volume_metrics</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b. Feed to Entity Extractor → upsert dm_graph.entities + mentions + relationships</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c. Feed to Anomaly Detector → insert dm_analytics.anomalies if triggered</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d. INSERT INTO dm_analytics.index_state (document_id, entity_count, anomaly_flags)</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3. Invalidate relevant dm_analytics.insight_cache entries</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4. sd_notify(WATCHDOG=1)   ← systemd watchdog ping</w:t>
            </w:r>
          </w:p>
        </w:tc>
      </w:tr>
      <w:tr>
        <w:tc>
          <w:tcPr>
            <w:tcBorders>
              <w:top w:val="none" w:color="FFFFFF" w:sz="0"/>
              <w:left w:val="none" w:color="FFFFFF" w:sz="0"/>
              <w:bottom w:val="none" w:color="FFFFFF" w:sz="0"/>
              <w:right w:val="none" w:color="FFFFFF" w:sz="0"/>
            </w:tcBorders>
            <w:shd w:fill="0F172A" w:val="clear"/>
            <w:tcMar>
              <w:top w:type="dxa" w:w="0"/>
              <w:left w:type="dxa" w:w="180"/>
              <w:bottom w:type="dxa" w:w="80"/>
              <w:right w:type="dxa" w:w="180"/>
            </w:tcMar>
          </w:tcPr>
          <w:p/>
        </w:tc>
      </w:tr>
    </w:tbl>
    <w:p>
      <w:pPr>
        <w:spacing w:before="0" w:after="120"/>
      </w:pPr>
      <w:r>
        <w:t xml:space="preserve"/>
      </w:r>
    </w:p>
    <w:p>
      <w:pPr>
        <w:pStyle w:val="Heading2"/>
        <w:spacing w:before="360" w:after="120"/>
      </w:pPr>
      <w:r>
        <w:rPr>
          <w:rFonts w:ascii="Arial" w:cs="Arial" w:eastAsia="Arial" w:hAnsi="Arial"/>
          <w:b/>
          <w:bCs/>
          <w:color w:val="0E7490"/>
          <w:sz w:val="30"/>
          <w:szCs w:val="30"/>
        </w:rPr>
        <w:t xml:space="preserve">5.2 Module 2 — Trend Engine</w:t>
      </w:r>
    </w:p>
    <w:p>
      <w:pPr>
        <w:spacing w:before="60" w:after="100"/>
      </w:pPr>
      <w:r>
        <w:rPr>
          <w:rFonts w:ascii="Arial" w:cs="Arial" w:eastAsia="Arial" w:hAnsi="Arial"/>
          <w:color w:val="334155"/>
          <w:sz w:val="22"/>
          <w:szCs w:val="22"/>
        </w:rPr>
        <w:t xml:space="preserve">The Trend Engine maintains a pre-aggregated, time-bucketed view of all document activity. Rather than computing trends on the fly (which would be slow against large vaults), it incrementally updates dm_analytics.volume_metrics as each document is indexed. This means trend chart data is always immediately available with sub-100ms query latency regardless of vault size.</w:t>
      </w:r>
    </w:p>
    <w:p>
      <w:pPr>
        <w:spacing w:before="0" w:after="80"/>
      </w:pPr>
      <w:r>
        <w:t xml:space="preserve"/>
      </w:r>
    </w:p>
    <w:p>
      <w:pPr>
        <w:spacing w:before="240" w:after="80"/>
      </w:pPr>
      <w:r>
        <w:rPr>
          <w:rFonts w:ascii="Arial" w:cs="Arial" w:eastAsia="Arial" w:hAnsi="Arial"/>
          <w:b/>
          <w:bCs/>
          <w:color w:val="1E293B"/>
          <w:sz w:val="24"/>
          <w:szCs w:val="24"/>
        </w:rPr>
        <w:t xml:space="preserve">Metric Buckets</w:t>
      </w:r>
    </w:p>
    <w:p>
      <w:pPr>
        <w:pStyle w:val="ListParagraph"/>
        <w:numPr>
          <w:ilvl w:val="0"/>
          <w:numId w:val="2"/>
        </w:numPr>
        <w:spacing w:before="40" w:after="40"/>
      </w:pPr>
      <w:r>
        <w:rPr>
          <w:rFonts w:ascii="Arial" w:cs="Arial" w:eastAsia="Arial" w:hAnsi="Arial"/>
          <w:b/>
          <w:bCs/>
          <w:color w:val="1E293B"/>
          <w:sz w:val="22"/>
          <w:szCs w:val="22"/>
        </w:rPr>
        <w:t xml:space="preserve">Hourly buckets: </w:t>
      </w:r>
      <w:r>
        <w:rPr>
          <w:rFonts w:ascii="Arial" w:cs="Arial" w:eastAsia="Arial" w:hAnsi="Arial"/>
          <w:color w:val="334155"/>
          <w:sz w:val="22"/>
          <w:szCs w:val="22"/>
        </w:rPr>
        <w:t xml:space="preserve">kept for the last 7 days. Used for the real-time activity chart on the dashboard.</w:t>
      </w:r>
    </w:p>
    <w:p>
      <w:pPr>
        <w:pStyle w:val="ListParagraph"/>
        <w:numPr>
          <w:ilvl w:val="0"/>
          <w:numId w:val="2"/>
        </w:numPr>
        <w:spacing w:before="40" w:after="40"/>
      </w:pPr>
      <w:r>
        <w:rPr>
          <w:rFonts w:ascii="Arial" w:cs="Arial" w:eastAsia="Arial" w:hAnsi="Arial"/>
          <w:b/>
          <w:bCs/>
          <w:color w:val="1E293B"/>
          <w:sz w:val="22"/>
          <w:szCs w:val="22"/>
        </w:rPr>
        <w:t xml:space="preserve">Daily buckets: </w:t>
      </w:r>
      <w:r>
        <w:rPr>
          <w:rFonts w:ascii="Arial" w:cs="Arial" w:eastAsia="Arial" w:hAnsi="Arial"/>
          <w:color w:val="334155"/>
          <w:sz w:val="22"/>
          <w:szCs w:val="22"/>
        </w:rPr>
        <w:t xml:space="preserve">kept for the last 12 months. Used for the main trend chart in the Insights UI.</w:t>
      </w:r>
    </w:p>
    <w:p>
      <w:pPr>
        <w:pStyle w:val="ListParagraph"/>
        <w:numPr>
          <w:ilvl w:val="0"/>
          <w:numId w:val="2"/>
        </w:numPr>
        <w:spacing w:before="40" w:after="40"/>
      </w:pPr>
      <w:r>
        <w:rPr>
          <w:rFonts w:ascii="Arial" w:cs="Arial" w:eastAsia="Arial" w:hAnsi="Arial"/>
          <w:b/>
          <w:bCs/>
          <w:color w:val="1E293B"/>
          <w:sz w:val="22"/>
          <w:szCs w:val="22"/>
        </w:rPr>
        <w:t xml:space="preserve">Weekly buckets: </w:t>
      </w:r>
      <w:r>
        <w:rPr>
          <w:rFonts w:ascii="Arial" w:cs="Arial" w:eastAsia="Arial" w:hAnsi="Arial"/>
          <w:color w:val="334155"/>
          <w:sz w:val="22"/>
          <w:szCs w:val="22"/>
        </w:rPr>
        <w:t xml:space="preserve">kept indefinitely. Used for long-range trend views.</w:t>
      </w:r>
    </w:p>
    <w:p>
      <w:pPr>
        <w:pStyle w:val="ListParagraph"/>
        <w:numPr>
          <w:ilvl w:val="0"/>
          <w:numId w:val="2"/>
        </w:numPr>
        <w:spacing w:before="40" w:after="40"/>
      </w:pPr>
      <w:r>
        <w:rPr>
          <w:rFonts w:ascii="Arial" w:cs="Arial" w:eastAsia="Arial" w:hAnsi="Arial"/>
          <w:b/>
          <w:bCs/>
          <w:color w:val="1E293B"/>
          <w:sz w:val="22"/>
          <w:szCs w:val="22"/>
        </w:rPr>
        <w:t xml:space="preserve">Monthly buckets: </w:t>
      </w:r>
      <w:r>
        <w:rPr>
          <w:rFonts w:ascii="Arial" w:cs="Arial" w:eastAsia="Arial" w:hAnsi="Arial"/>
          <w:color w:val="334155"/>
          <w:sz w:val="22"/>
          <w:szCs w:val="22"/>
        </w:rPr>
        <w:t xml:space="preserve">kept indefinitely. Used for scheduled monthly reports.</w:t>
      </w:r>
    </w:p>
    <w:p>
      <w:pPr>
        <w:spacing w:before="0" w:after="80"/>
      </w:pPr>
      <w:r>
        <w:t xml:space="preserve"/>
      </w:r>
    </w:p>
    <w:p>
      <w:pPr>
        <w:spacing w:before="240" w:after="80"/>
      </w:pPr>
      <w:r>
        <w:rPr>
          <w:rFonts w:ascii="Arial" w:cs="Arial" w:eastAsia="Arial" w:hAnsi="Arial"/>
          <w:b/>
          <w:bCs/>
          <w:color w:val="1E293B"/>
          <w:sz w:val="24"/>
          <w:szCs w:val="24"/>
        </w:rPr>
        <w:t xml:space="preserve">Dimensions Tracked Per Bucket</w:t>
      </w:r>
    </w:p>
    <w:p>
      <w:pPr>
        <w:pStyle w:val="ListParagraph"/>
        <w:numPr>
          <w:ilvl w:val="0"/>
          <w:numId w:val="2"/>
        </w:numPr>
        <w:spacing w:before="40" w:after="40"/>
      </w:pPr>
      <w:r>
        <w:rPr>
          <w:rFonts w:ascii="Arial" w:cs="Arial" w:eastAsia="Arial" w:hAnsi="Arial"/>
          <w:b/>
          <w:bCs/>
          <w:color w:val="1E293B"/>
          <w:sz w:val="22"/>
          <w:szCs w:val="22"/>
        </w:rPr>
        <w:t xml:space="preserve">doc_count: </w:t>
      </w:r>
      <w:r>
        <w:rPr>
          <w:rFonts w:ascii="Arial" w:cs="Arial" w:eastAsia="Arial" w:hAnsi="Arial"/>
          <w:color w:val="334155"/>
          <w:sz w:val="22"/>
          <w:szCs w:val="22"/>
        </w:rPr>
        <w:t xml:space="preserve">total documents processed in the bucket period</w:t>
      </w:r>
    </w:p>
    <w:p>
      <w:pPr>
        <w:pStyle w:val="ListParagraph"/>
        <w:numPr>
          <w:ilvl w:val="0"/>
          <w:numId w:val="2"/>
        </w:numPr>
        <w:spacing w:before="40" w:after="40"/>
      </w:pPr>
      <w:r>
        <w:rPr>
          <w:rFonts w:ascii="Arial" w:cs="Arial" w:eastAsia="Arial" w:hAnsi="Arial"/>
          <w:b/>
          <w:bCs/>
          <w:color w:val="1E293B"/>
          <w:sz w:val="22"/>
          <w:szCs w:val="22"/>
        </w:rPr>
        <w:t xml:space="preserve">avg_confidence: </w:t>
      </w:r>
      <w:r>
        <w:rPr>
          <w:rFonts w:ascii="Arial" w:cs="Arial" w:eastAsia="Arial" w:hAnsi="Arial"/>
          <w:color w:val="334155"/>
          <w:sz w:val="22"/>
          <w:szCs w:val="22"/>
        </w:rPr>
        <w:t xml:space="preserve">average OCR/extraction confidence across all documents</w:t>
      </w:r>
    </w:p>
    <w:p>
      <w:pPr>
        <w:pStyle w:val="ListParagraph"/>
        <w:numPr>
          <w:ilvl w:val="0"/>
          <w:numId w:val="2"/>
        </w:numPr>
        <w:spacing w:before="40" w:after="40"/>
      </w:pPr>
      <w:r>
        <w:rPr>
          <w:rFonts w:ascii="Arial" w:cs="Arial" w:eastAsia="Arial" w:hAnsi="Arial"/>
          <w:b/>
          <w:bCs/>
          <w:color w:val="1E293B"/>
          <w:sz w:val="22"/>
          <w:szCs w:val="22"/>
        </w:rPr>
        <w:t xml:space="preserve">failed_count: </w:t>
      </w:r>
      <w:r>
        <w:rPr>
          <w:rFonts w:ascii="Arial" w:cs="Arial" w:eastAsia="Arial" w:hAnsi="Arial"/>
          <w:color w:val="334155"/>
          <w:sz w:val="22"/>
          <w:szCs w:val="22"/>
        </w:rPr>
        <w:t xml:space="preserve">documents that failed processing or were flagged for review</w:t>
      </w:r>
    </w:p>
    <w:p>
      <w:pPr>
        <w:pStyle w:val="ListParagraph"/>
        <w:numPr>
          <w:ilvl w:val="0"/>
          <w:numId w:val="2"/>
        </w:numPr>
        <w:spacing w:before="40" w:after="40"/>
      </w:pPr>
      <w:r>
        <w:rPr>
          <w:rFonts w:ascii="Arial" w:cs="Arial" w:eastAsia="Arial" w:hAnsi="Arial"/>
          <w:b/>
          <w:bCs/>
          <w:color w:val="1E293B"/>
          <w:sz w:val="22"/>
          <w:szCs w:val="22"/>
        </w:rPr>
        <w:t xml:space="preserve">by doc_type: </w:t>
      </w:r>
      <w:r>
        <w:rPr>
          <w:rFonts w:ascii="Arial" w:cs="Arial" w:eastAsia="Arial" w:hAnsi="Arial"/>
          <w:color w:val="334155"/>
          <w:sz w:val="22"/>
          <w:szCs w:val="22"/>
        </w:rPr>
        <w:t xml:space="preserve">each bucket is also broken out by document type (invoice, deed, form, handwritten, etc.)</w:t>
      </w:r>
    </w:p>
    <w:p>
      <w:pPr>
        <w:pStyle w:val="ListParagraph"/>
        <w:numPr>
          <w:ilvl w:val="0"/>
          <w:numId w:val="2"/>
        </w:numPr>
        <w:spacing w:before="40" w:after="40"/>
      </w:pPr>
      <w:r>
        <w:rPr>
          <w:rFonts w:ascii="Arial" w:cs="Arial" w:eastAsia="Arial" w:hAnsi="Arial"/>
          <w:b/>
          <w:bCs/>
          <w:color w:val="1E293B"/>
          <w:sz w:val="22"/>
          <w:szCs w:val="22"/>
        </w:rPr>
        <w:t xml:space="preserve">by source_channel: </w:t>
      </w:r>
      <w:r>
        <w:rPr>
          <w:rFonts w:ascii="Arial" w:cs="Arial" w:eastAsia="Arial" w:hAnsi="Arial"/>
          <w:color w:val="334155"/>
          <w:sz w:val="22"/>
          <w:szCs w:val="22"/>
        </w:rPr>
        <w:t xml:space="preserve">each bucket broken out by ingestion channel (drop, smb, email, fax, api)</w:t>
      </w:r>
    </w:p>
    <w:p>
      <w:pPr>
        <w:spacing w:before="0" w:after="120"/>
      </w:pPr>
      <w:r>
        <w:t xml:space="preserve"/>
      </w:r>
    </w:p>
    <w:p>
      <w:pPr>
        <w:pStyle w:val="Heading2"/>
        <w:spacing w:before="360" w:after="120"/>
      </w:pPr>
      <w:r>
        <w:rPr>
          <w:rFonts w:ascii="Arial" w:cs="Arial" w:eastAsia="Arial" w:hAnsi="Arial"/>
          <w:b/>
          <w:bCs/>
          <w:color w:val="0E7490"/>
          <w:sz w:val="30"/>
          <w:szCs w:val="30"/>
        </w:rPr>
        <w:t xml:space="preserve">5.3 Module 3 — Entity Extractor</w:t>
      </w:r>
    </w:p>
    <w:p>
      <w:pPr>
        <w:spacing w:before="60" w:after="100"/>
      </w:pPr>
      <w:r>
        <w:rPr>
          <w:rFonts w:ascii="Arial" w:cs="Arial" w:eastAsia="Arial" w:hAnsi="Arial"/>
          <w:color w:val="334155"/>
          <w:sz w:val="22"/>
          <w:szCs w:val="22"/>
        </w:rPr>
        <w:t xml:space="preserve">The Entity Extractor takes the structured extracted_json from each processed document and runs a secondary Ollama prompt specifically designed to pull named entities. It does not re-run OCR — it works only on the already-structured data, making it fast (typically under 500ms per document on a 8b quantised model).</w:t>
      </w:r>
    </w:p>
    <w:p>
      <w:pPr>
        <w:spacing w:before="0" w:after="80"/>
      </w:pPr>
      <w:r>
        <w:t xml:space="preserve"/>
      </w:r>
    </w:p>
    <w:p>
      <w:pPr>
        <w:spacing w:before="240" w:after="80"/>
      </w:pPr>
      <w:r>
        <w:rPr>
          <w:rFonts w:ascii="Arial" w:cs="Arial" w:eastAsia="Arial" w:hAnsi="Arial"/>
          <w:b/>
          <w:bCs/>
          <w:color w:val="1E293B"/>
          <w:sz w:val="24"/>
          <w:szCs w:val="24"/>
        </w:rPr>
        <w:t xml:space="preserve">Entity Types Extracted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c>
          <w:tcPr>
            <w:tcW w:type="dxa" w:w="1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Entity Type</w:t>
            </w:r>
          </w:p>
        </w:tc>
        <w:tc>
          <w:tcPr>
            <w:tcW w:type="dxa" w:w="3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Examples</w:t>
            </w:r>
          </w:p>
        </w:tc>
        <w:tc>
          <w:tcPr>
            <w:tcW w:type="dxa" w:w="41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Primary Document Types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person</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John Smith, Maria Santos, Dr. A. Patel</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Deeds, medical, legal, forms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organisation</w:t>
            </w:r>
          </w:p>
        </w:tc>
        <w:tc>
          <w:tcPr>
            <w:tcW w:type="dxa" w:w="3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Ministry of Lands, Acme Corp, Coastal Bank</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Invoices, contracts, deeds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property</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LOT-2024-0342, 142 Ocean View Drive, Plot 7A</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Deeds, land registry</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location</w:t>
            </w:r>
          </w:p>
        </w:tc>
        <w:tc>
          <w:tcPr>
            <w:tcW w:type="dxa" w:w="3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Georgetown, District 7, North Region</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All document types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monetary_amount</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$45,000 USD, GY$2.3M, EUR 8,500</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Invoices, deeds, contracts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date_reference</w:t>
            </w:r>
          </w:p>
        </w:tc>
        <w:tc>
          <w:tcPr>
            <w:tcW w:type="dxa" w:w="3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March 15 2024, FY2023, 1987-08-01</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All document types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id_reference</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Passport No. A123456, Reg. No. 2024/C/1102</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Legal, forms, contracts</w:t>
            </w:r>
          </w:p>
        </w:tc>
      </w:tr>
    </w:tbl>
    <w:p>
      <w:pPr>
        <w:spacing w:before="0" w:after="80"/>
      </w:pPr>
      <w:r>
        <w:t xml:space="preserve"/>
      </w:r>
    </w:p>
    <w:p>
      <w:pPr>
        <w:spacing w:before="240" w:after="80"/>
      </w:pPr>
      <w:r>
        <w:rPr>
          <w:rFonts w:ascii="Arial" w:cs="Arial" w:eastAsia="Arial" w:hAnsi="Arial"/>
          <w:b/>
          <w:bCs/>
          <w:color w:val="1E293B"/>
          <w:sz w:val="24"/>
          <w:szCs w:val="24"/>
        </w:rPr>
        <w:t xml:space="preserve">Deduplication Strategy</w:t>
      </w:r>
    </w:p>
    <w:p>
      <w:pPr>
        <w:spacing w:before="60" w:after="100"/>
      </w:pPr>
      <w:r>
        <w:rPr>
          <w:rFonts w:ascii="Arial" w:cs="Arial" w:eastAsia="Arial" w:hAnsi="Arial"/>
          <w:color w:val="334155"/>
          <w:sz w:val="22"/>
          <w:szCs w:val="22"/>
        </w:rPr>
        <w:t xml:space="preserve">Entity deduplication is one of the hardest problems in entity extraction — the same person may appear as 'John Smith', 'J. Smith', 'Mr. J.A. Smith' across different documents. DocMaster uses a two-pass deduplication approach:</w:t>
      </w:r>
    </w:p>
    <w:p>
      <w:pPr>
        <w:pStyle w:val="ListParagraph"/>
        <w:numPr>
          <w:ilvl w:val="0"/>
          <w:numId w:val="3"/>
        </w:numPr>
        <w:spacing w:before="40" w:after="40"/>
      </w:pPr>
      <w:r>
        <w:rPr>
          <w:rFonts w:ascii="Arial" w:cs="Arial" w:eastAsia="Arial" w:hAnsi="Arial"/>
          <w:b/>
          <w:bCs/>
          <w:color w:val="1E293B"/>
          <w:sz w:val="22"/>
          <w:szCs w:val="22"/>
        </w:rPr>
        <w:t xml:space="preserve">Exact match: </w:t>
      </w:r>
      <w:r>
        <w:rPr>
          <w:rFonts w:ascii="Arial" w:cs="Arial" w:eastAsia="Arial" w:hAnsi="Arial"/>
          <w:color w:val="334155"/>
          <w:sz w:val="22"/>
          <w:szCs w:val="22"/>
        </w:rPr>
        <w:t xml:space="preserve">normalise the extracted name (lowercase, strip punctuation, trim whitespace). Look for an exact match in dm_graph.entities.canonical_name. If found, add a mention; if not, create a new entity.</w:t>
      </w:r>
    </w:p>
    <w:p>
      <w:pPr>
        <w:pStyle w:val="ListParagraph"/>
        <w:numPr>
          <w:ilvl w:val="0"/>
          <w:numId w:val="3"/>
        </w:numPr>
        <w:spacing w:before="40" w:after="40"/>
      </w:pPr>
      <w:r>
        <w:rPr>
          <w:rFonts w:ascii="Arial" w:cs="Arial" w:eastAsia="Arial" w:hAnsi="Arial"/>
          <w:b/>
          <w:bCs/>
          <w:color w:val="1E293B"/>
          <w:sz w:val="22"/>
          <w:szCs w:val="22"/>
        </w:rPr>
        <w:t xml:space="preserve">Fuzzy match: </w:t>
      </w:r>
      <w:r>
        <w:rPr>
          <w:rFonts w:ascii="Arial" w:cs="Arial" w:eastAsia="Arial" w:hAnsi="Arial"/>
          <w:color w:val="334155"/>
          <w:sz w:val="22"/>
          <w:szCs w:val="22"/>
        </w:rPr>
        <w:t xml:space="preserve">if no exact match, compute Jaro-Winkler similarity against all entities of the same type within the same document type. If similarity &gt; 0.92, treat as the same entity and add the new form to the aliases array. This catches 'J. Smith' and 'John Smith'.</w:t>
      </w:r>
    </w:p>
    <w:p>
      <w:pPr>
        <w:pStyle w:val="ListParagraph"/>
        <w:numPr>
          <w:ilvl w:val="0"/>
          <w:numId w:val="3"/>
        </w:numPr>
        <w:spacing w:before="40" w:after="40"/>
      </w:pPr>
      <w:r>
        <w:rPr>
          <w:rFonts w:ascii="Arial" w:cs="Arial" w:eastAsia="Arial" w:hAnsi="Arial"/>
          <w:b/>
          <w:bCs/>
          <w:color w:val="1E293B"/>
          <w:sz w:val="22"/>
          <w:szCs w:val="22"/>
        </w:rPr>
        <w:t xml:space="preserve">LLM disambiguation (high-value entities only): </w:t>
      </w:r>
      <w:r>
        <w:rPr>
          <w:rFonts w:ascii="Arial" w:cs="Arial" w:eastAsia="Arial" w:hAnsi="Arial"/>
          <w:color w:val="334155"/>
          <w:sz w:val="22"/>
          <w:szCs w:val="22"/>
        </w:rPr>
        <w:t xml:space="preserve">for entities that appear frequently (&gt;10 mentions) and have ambiguous matches, an optional Ollama disambiguation pass is run to determine whether two candidate entities are the same person or organisation. This is configurable per deployment.</w:t>
      </w:r>
    </w:p>
    <w:p>
      <w:pPr>
        <w:spacing w:before="0" w:after="120"/>
      </w:pPr>
      <w:r>
        <w:t xml:space="preserve"/>
      </w:r>
    </w:p>
    <w:p>
      <w:pPr>
        <w:pStyle w:val="Heading2"/>
        <w:spacing w:before="360" w:after="120"/>
      </w:pPr>
      <w:r>
        <w:rPr>
          <w:rFonts w:ascii="Arial" w:cs="Arial" w:eastAsia="Arial" w:hAnsi="Arial"/>
          <w:b/>
          <w:bCs/>
          <w:color w:val="0E7490"/>
          <w:sz w:val="30"/>
          <w:szCs w:val="30"/>
        </w:rPr>
        <w:t xml:space="preserve">5.4 Module 4 — Anomaly Detector</w:t>
      </w:r>
    </w:p>
    <w:p>
      <w:pPr>
        <w:spacing w:before="60" w:after="100"/>
      </w:pPr>
      <w:r>
        <w:rPr>
          <w:rFonts w:ascii="Arial" w:cs="Arial" w:eastAsia="Arial" w:hAnsi="Arial"/>
          <w:color w:val="334155"/>
          <w:sz w:val="22"/>
          <w:szCs w:val="22"/>
        </w:rPr>
        <w:t xml:space="preserve">The Anomaly Detector applies statistical tests to the numeric and date fields extracted from documents. It does not attempt to understand document content — it looks for values that are statistically unusual compared to all previously processed documents of the same type. This is what allows DocMaster to flag an invoice for $1.4M in a portfolio where 99% of invoices are under $50,000, without any operator configuring that rule.</w:t>
      </w:r>
    </w:p>
    <w:p>
      <w:pPr>
        <w:spacing w:before="0" w:after="80"/>
      </w:pPr>
      <w:r>
        <w:t xml:space="preserve"/>
      </w:r>
    </w:p>
    <w:p>
      <w:pPr>
        <w:spacing w:before="240" w:after="80"/>
      </w:pPr>
      <w:r>
        <w:rPr>
          <w:rFonts w:ascii="Arial" w:cs="Arial" w:eastAsia="Arial" w:hAnsi="Arial"/>
          <w:b/>
          <w:bCs/>
          <w:color w:val="1E293B"/>
          <w:sz w:val="24"/>
          <w:szCs w:val="24"/>
        </w:rPr>
        <w:t xml:space="preserve">Anomaly Detection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100"/>
        <w:gridCol w:w="2060"/>
      </w:tblGrid>
      <w:tr>
        <w:tc>
          <w:tcPr>
            <w:tcW w:type="dxa" w:w="2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Applied To</w:t>
            </w:r>
          </w:p>
        </w:tc>
        <w:tc>
          <w:tcPr>
            <w:tcW w:type="dxa" w:w="31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Trigger Condition</w:t>
            </w:r>
          </w:p>
        </w:tc>
        <w:tc>
          <w:tcPr>
            <w:tcW w:type="dxa" w:w="20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Severity</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Z-Score (σ &gt; 3.0)</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Monetary amounts, numeric quantities</w:t>
            </w:r>
          </w:p>
        </w:tc>
        <w:tc>
          <w:tcPr>
            <w:tcW w:type="dxa" w:w="3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Value is more than 3 standard deviations from the field mean for this document type</w:t>
            </w:r>
          </w:p>
        </w:tc>
        <w:tc>
          <w:tcPr>
            <w:tcW w:type="dxa" w:w="2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warning</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Z-Score (σ &gt; 4.5)</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Monetary amounts, numeric quantities</w:t>
            </w:r>
          </w:p>
        </w:tc>
        <w:tc>
          <w:tcPr>
            <w:tcW w:type="dxa" w:w="3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Value is more than 4.5 standard deviations from the mean</w:t>
            </w:r>
          </w:p>
        </w:tc>
        <w:tc>
          <w:tcPr>
            <w:tcW w:type="dxa" w:w="20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critical</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IQR Fence (1.5x)</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Dates, ages, durations</w:t>
            </w:r>
          </w:p>
        </w:tc>
        <w:tc>
          <w:tcPr>
            <w:tcW w:type="dxa" w:w="3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Value falls outside 1.5 × interquartile range</w:t>
            </w:r>
          </w:p>
        </w:tc>
        <w:tc>
          <w:tcPr>
            <w:tcW w:type="dxa" w:w="2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info</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Date Mismatch</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Registration date vs document date</w:t>
            </w:r>
          </w:p>
        </w:tc>
        <w:tc>
          <w:tcPr>
            <w:tcW w:type="dxa" w:w="3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Extracted registration date is after the document creation date by more than 30 days</w:t>
            </w:r>
          </w:p>
        </w:tc>
        <w:tc>
          <w:tcPr>
            <w:tcW w:type="dxa" w:w="20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warning</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Duplicate Entity Pair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Entity graph</w:t>
            </w:r>
          </w:p>
        </w:tc>
        <w:tc>
          <w:tcPr>
            <w:tcW w:type="dxa" w:w="3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The same two entities appear together in an unusually high number of documents relative to the baseline rate</w:t>
            </w:r>
          </w:p>
        </w:tc>
        <w:tc>
          <w:tcPr>
            <w:tcW w:type="dxa" w:w="2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info</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Confidence Drop</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Document-level confidence</w:t>
            </w:r>
          </w:p>
        </w:tc>
        <w:tc>
          <w:tcPr>
            <w:tcW w:type="dxa" w:w="3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Document confidence is &gt;15 percentage points below the rolling 30-day average for this document type</w:t>
            </w:r>
          </w:p>
        </w:tc>
        <w:tc>
          <w:tcPr>
            <w:tcW w:type="dxa" w:w="20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info</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Missing Required Field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Document type schema</w:t>
            </w:r>
          </w:p>
        </w:tc>
        <w:tc>
          <w:tcPr>
            <w:tcW w:type="dxa" w:w="3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 field marked required in the document type schema is null or empty</w:t>
            </w:r>
          </w:p>
        </w:tc>
        <w:tc>
          <w:tcPr>
            <w:tcW w:type="dxa" w:w="2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warning</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Value Format Violation</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ID numbers, registration codes</w:t>
            </w:r>
          </w:p>
        </w:tc>
        <w:tc>
          <w:tcPr>
            <w:tcW w:type="dxa" w:w="3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 field's value does not match the expected regex pattern for this document type and region</w:t>
            </w:r>
          </w:p>
        </w:tc>
        <w:tc>
          <w:tcPr>
            <w:tcW w:type="dxa" w:w="20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info</w:t>
            </w:r>
          </w:p>
        </w:tc>
      </w:tr>
    </w:tbl>
    <w:p>
      <w:pPr>
        <w:spacing w:before="0" w:after="80"/>
      </w:pPr>
      <w:r>
        <w:t xml:space="preserve"/>
      </w:r>
    </w:p>
    <w:p>
      <w:pPr>
        <w:spacing w:before="60" w:after="100"/>
      </w:pPr>
      <w:r>
        <w:rPr>
          <w:rFonts w:ascii="Arial" w:cs="Arial" w:eastAsia="Arial" w:hAnsi="Arial"/>
          <w:color w:val="334155"/>
          <w:sz w:val="22"/>
          <w:szCs w:val="22"/>
        </w:rPr>
        <w:t xml:space="preserve">Anomaly records are surfaced in two places: the Anomalies panel in the Insights UI (with acknowledge/dismiss capability), and optionally in the outbound webhook payload if the dm-bridge connector is configured. Operators can configure severity thresholds and silence specific anomaly types per document type in insights.yaml.</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Borders>
              <w:top w:val="none" w:color="FFFFFF" w:sz="0"/>
              <w:left w:val="single" w:color="6D28D9" w:sz="16"/>
              <w:bottom w:val="none" w:color="FFFFFF" w:sz="0"/>
              <w:right w:val="none" w:color="FFFFFF" w:sz="0"/>
            </w:tcBorders>
            <w:shd w:fill="FEF9C3" w:val="clear"/>
            <w:tcMar>
              <w:top w:type="dxa" w:w="100"/>
              <w:left w:type="dxa" w:w="0"/>
              <w:bottom w:type="dxa" w:w="100"/>
              <w:right w:type="dxa" w:w="0"/>
            </w:tcMar>
          </w:tcPr>
          <w:p>
            <w:r>
              <w:t xml:space="preserve"/>
            </w:r>
          </w:p>
        </w:tc>
        <w:tc>
          <w:tcPr>
            <w:tcBorders>
              <w:top w:val="none" w:color="FFFFFF" w:sz="0"/>
              <w:left w:val="none" w:color="FFFFFF" w:sz="0"/>
              <w:bottom w:val="none" w:color="FFFFFF" w:sz="0"/>
              <w:right w:val="none" w:color="FFFFFF" w:sz="0"/>
            </w:tcBorders>
            <w:shd w:fill="FEF9C3" w:val="clear"/>
            <w:tcMar>
              <w:top w:type="dxa" w:w="100"/>
              <w:left w:type="dxa" w:w="160"/>
              <w:bottom w:type="dxa" w:w="100"/>
              <w:right w:type="dxa" w:w="180"/>
            </w:tcMar>
          </w:tcPr>
          <w:p>
            <w:pPr>
              <w:spacing w:before="0" w:after="40"/>
            </w:pPr>
            <w:r>
              <w:rPr>
                <w:rFonts w:ascii="Arial" w:cs="Arial" w:eastAsia="Arial" w:hAnsi="Arial"/>
                <w:b/>
                <w:bCs/>
                <w:color w:val="1E293B"/>
                <w:sz w:val="21"/>
                <w:szCs w:val="21"/>
              </w:rPr>
              <w:t xml:space="preserve">Minimum Sample Size Guard</w:t>
            </w:r>
          </w:p>
          <w:p>
            <w:pPr>
              <w:spacing w:before="0" w:after="0"/>
            </w:pPr>
            <w:r>
              <w:rPr>
                <w:rFonts w:ascii="Arial" w:cs="Arial" w:eastAsia="Arial" w:hAnsi="Arial"/>
                <w:i/>
                <w:iCs/>
                <w:color w:val="334155"/>
                <w:sz w:val="20"/>
                <w:szCs w:val="20"/>
              </w:rPr>
              <w:t xml:space="preserve">Anomaly detection is only activated once a document type has at least 30 processed records. Below this threshold, there is insufficient statistical baseline and any outlier detection would produce false positives. The UI shows 'Insufficient data for anomaly detection' for low-volume document types.</w:t>
            </w:r>
          </w:p>
        </w:tc>
      </w:tr>
    </w:tbl>
    <w:p>
      <w:pPr>
        <w:spacing w:before="0" w:after="120"/>
      </w:pPr>
      <w:r>
        <w:t xml:space="preserve"/>
      </w:r>
    </w:p>
    <w:p>
      <w:pPr>
        <w:pStyle w:val="Heading2"/>
        <w:spacing w:before="360" w:after="120"/>
      </w:pPr>
      <w:r>
        <w:rPr>
          <w:rFonts w:ascii="Arial" w:cs="Arial" w:eastAsia="Arial" w:hAnsi="Arial"/>
          <w:b/>
          <w:bCs/>
          <w:color w:val="0E7490"/>
          <w:sz w:val="30"/>
          <w:szCs w:val="30"/>
        </w:rPr>
        <w:t xml:space="preserve">5.5 Module 5 — Natural Language Query Engine</w:t>
      </w:r>
    </w:p>
    <w:p>
      <w:pPr>
        <w:spacing w:before="60" w:after="100"/>
      </w:pPr>
      <w:r>
        <w:rPr>
          <w:rFonts w:ascii="Arial" w:cs="Arial" w:eastAsia="Arial" w:hAnsi="Arial"/>
          <w:color w:val="334155"/>
          <w:sz w:val="22"/>
          <w:szCs w:val="22"/>
        </w:rPr>
        <w:t xml:space="preserve">The Natural Language Query Engine is the most visible end-user feature of Phase 5. It allows operators to ask questions about their document vault in plain language and receive plain-language answers backed by real data. The query engine does not use the pgvector semantic search from Phase 4 (which finds documents by content similarity) — it performs structured analytics queries against the aggregated insights data.</w:t>
      </w:r>
    </w:p>
    <w:p>
      <w:pPr>
        <w:spacing w:before="0" w:after="80"/>
      </w:pPr>
      <w:r>
        <w:t xml:space="preserve"/>
      </w:r>
    </w:p>
    <w:p>
      <w:pPr>
        <w:spacing w:before="240" w:after="80"/>
      </w:pPr>
      <w:r>
        <w:rPr>
          <w:rFonts w:ascii="Arial" w:cs="Arial" w:eastAsia="Arial" w:hAnsi="Arial"/>
          <w:b/>
          <w:bCs/>
          <w:color w:val="1E293B"/>
          <w:sz w:val="24"/>
          <w:szCs w:val="24"/>
        </w:rPr>
        <w:t xml:space="preserve">NL Query Pipeline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
        <w:gridCol w:w="1560"/>
        <w:gridCol w:w="200"/>
        <w:gridCol w:w="1560"/>
        <w:gridCol w:w="200"/>
        <w:gridCol w:w="1560"/>
        <w:gridCol w:w="200"/>
        <w:gridCol w:w="1560"/>
        <w:gridCol w:w="200"/>
        <w:gridCol w:w="1560"/>
      </w:tblGrid>
      <w:tr>
        <w:tc>
          <w:tcPr>
            <w:tcW w:type="dxa" w:w="156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Operator types question</w:t>
            </w:r>
          </w:p>
        </w:tc>
        <w:tc>
          <w:tcPr>
            <w:tcW w:type="dxa" w:w="200"/>
            <w:tcBorders>
              <w:top w:val="none" w:color="FFFFFF" w:sz="0"/>
              <w:left w:val="none" w:color="FFFFFF" w:sz="0"/>
              <w:bottom w:val="none" w:color="FFFFFF" w:sz="0"/>
              <w:right w:val="none" w:color="FFFFFF" w:sz="0"/>
            </w:tcBorders>
            <w:shd w:fill="FFFFFF" w:val="clear"/>
            <w:tcMar>
              <w:top w:type="dxa" w:w="80"/>
              <w:left w:type="dxa" w:w="0"/>
              <w:bottom w:type="dxa" w:w="80"/>
              <w:right w:type="dxa" w:w="0"/>
            </w:tcMar>
          </w:tcPr>
          <w:p>
            <w:pPr>
              <w:jc w:val="center"/>
            </w:pPr>
            <w:r>
              <w:rPr>
                <w:rFonts w:ascii="Arial" w:cs="Arial" w:eastAsia="Arial" w:hAnsi="Arial"/>
                <w:color w:val="64748B"/>
                <w:sz w:val="22"/>
                <w:szCs w:val="22"/>
              </w:rPr>
              <w:t xml:space="preserve">→</w:t>
            </w:r>
          </w:p>
        </w:tc>
        <w:tc>
          <w:tcPr>
            <w:tcW w:type="dxa" w:w="156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Intent Classifier</w:t>
            </w:r>
          </w:p>
        </w:tc>
        <w:tc>
          <w:tcPr>
            <w:tcW w:type="dxa" w:w="200"/>
            <w:tcBorders>
              <w:top w:val="none" w:color="FFFFFF" w:sz="0"/>
              <w:left w:val="none" w:color="FFFFFF" w:sz="0"/>
              <w:bottom w:val="none" w:color="FFFFFF" w:sz="0"/>
              <w:right w:val="none" w:color="FFFFFF" w:sz="0"/>
            </w:tcBorders>
            <w:shd w:fill="FFFFFF" w:val="clear"/>
            <w:tcMar>
              <w:top w:type="dxa" w:w="80"/>
              <w:left w:type="dxa" w:w="0"/>
              <w:bottom w:type="dxa" w:w="80"/>
              <w:right w:type="dxa" w:w="0"/>
            </w:tcMar>
          </w:tcPr>
          <w:p>
            <w:pPr>
              <w:jc w:val="center"/>
            </w:pPr>
            <w:r>
              <w:rPr>
                <w:rFonts w:ascii="Arial" w:cs="Arial" w:eastAsia="Arial" w:hAnsi="Arial"/>
                <w:color w:val="64748B"/>
                <w:sz w:val="22"/>
                <w:szCs w:val="22"/>
              </w:rPr>
              <w:t xml:space="preserve">→</w:t>
            </w:r>
          </w:p>
        </w:tc>
        <w:tc>
          <w:tcPr>
            <w:tcW w:type="dxa" w:w="156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Query Builder (LLM)</w:t>
            </w:r>
          </w:p>
        </w:tc>
        <w:tc>
          <w:tcPr>
            <w:tcW w:type="dxa" w:w="200"/>
            <w:tcBorders>
              <w:top w:val="none" w:color="FFFFFF" w:sz="0"/>
              <w:left w:val="none" w:color="FFFFFF" w:sz="0"/>
              <w:bottom w:val="none" w:color="FFFFFF" w:sz="0"/>
              <w:right w:val="none" w:color="FFFFFF" w:sz="0"/>
            </w:tcBorders>
            <w:shd w:fill="FFFFFF" w:val="clear"/>
            <w:tcMar>
              <w:top w:type="dxa" w:w="80"/>
              <w:left w:type="dxa" w:w="0"/>
              <w:bottom w:type="dxa" w:w="80"/>
              <w:right w:type="dxa" w:w="0"/>
            </w:tcMar>
          </w:tcPr>
          <w:p>
            <w:pPr>
              <w:jc w:val="center"/>
            </w:pPr>
            <w:r>
              <w:rPr>
                <w:rFonts w:ascii="Arial" w:cs="Arial" w:eastAsia="Arial" w:hAnsi="Arial"/>
                <w:color w:val="64748B"/>
                <w:sz w:val="22"/>
                <w:szCs w:val="22"/>
              </w:rPr>
              <w:t xml:space="preserve">→</w:t>
            </w:r>
          </w:p>
        </w:tc>
        <w:tc>
          <w:tcPr>
            <w:tcW w:type="dxa" w:w="156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SQL Execution</w:t>
            </w:r>
          </w:p>
        </w:tc>
        <w:tc>
          <w:tcPr>
            <w:tcW w:type="dxa" w:w="200"/>
            <w:tcBorders>
              <w:top w:val="none" w:color="FFFFFF" w:sz="0"/>
              <w:left w:val="none" w:color="FFFFFF" w:sz="0"/>
              <w:bottom w:val="none" w:color="FFFFFF" w:sz="0"/>
              <w:right w:val="none" w:color="FFFFFF" w:sz="0"/>
            </w:tcBorders>
            <w:shd w:fill="FFFFFF" w:val="clear"/>
            <w:tcMar>
              <w:top w:type="dxa" w:w="80"/>
              <w:left w:type="dxa" w:w="0"/>
              <w:bottom w:type="dxa" w:w="80"/>
              <w:right w:type="dxa" w:w="0"/>
            </w:tcMar>
          </w:tcPr>
          <w:p>
            <w:pPr>
              <w:jc w:val="center"/>
            </w:pPr>
            <w:r>
              <w:rPr>
                <w:rFonts w:ascii="Arial" w:cs="Arial" w:eastAsia="Arial" w:hAnsi="Arial"/>
                <w:color w:val="64748B"/>
                <w:sz w:val="22"/>
                <w:szCs w:val="22"/>
              </w:rPr>
              <w:t xml:space="preserve">→</w:t>
            </w:r>
          </w:p>
        </w:tc>
        <w:tc>
          <w:tcPr>
            <w:tcW w:type="dxa" w:w="156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Answer Formatter (LLM)</w:t>
            </w:r>
          </w:p>
        </w:tc>
        <w:tc>
          <w:tcPr>
            <w:tcW w:type="dxa" w:w="200"/>
            <w:tcBorders>
              <w:top w:val="none" w:color="FFFFFF" w:sz="0"/>
              <w:left w:val="none" w:color="FFFFFF" w:sz="0"/>
              <w:bottom w:val="none" w:color="FFFFFF" w:sz="0"/>
              <w:right w:val="none" w:color="FFFFFF" w:sz="0"/>
            </w:tcBorders>
            <w:shd w:fill="FFFFFF" w:val="clear"/>
            <w:tcMar>
              <w:top w:type="dxa" w:w="80"/>
              <w:left w:type="dxa" w:w="0"/>
              <w:bottom w:type="dxa" w:w="80"/>
              <w:right w:type="dxa" w:w="0"/>
            </w:tcMar>
          </w:tcPr>
          <w:p>
            <w:pPr>
              <w:jc w:val="center"/>
            </w:pPr>
            <w:r>
              <w:rPr>
                <w:rFonts w:ascii="Arial" w:cs="Arial" w:eastAsia="Arial" w:hAnsi="Arial"/>
                <w:color w:val="64748B"/>
                <w:sz w:val="22"/>
                <w:szCs w:val="22"/>
              </w:rPr>
              <w:t xml:space="preserve">→</w:t>
            </w:r>
          </w:p>
        </w:tc>
        <w:tc>
          <w:tcPr>
            <w:tcW w:type="dxa" w:w="156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Response + Supporting Docs</w:t>
            </w:r>
          </w:p>
        </w:tc>
      </w:tr>
    </w:tbl>
    <w:p>
      <w:pPr>
        <w:spacing w:before="0" w:after="120"/>
      </w:pPr>
      <w:r>
        <w:t xml:space="preserve"/>
      </w:r>
    </w:p>
    <w:p>
      <w:pPr>
        <w:spacing w:before="240" w:after="80"/>
      </w:pPr>
      <w:r>
        <w:rPr>
          <w:rFonts w:ascii="Arial" w:cs="Arial" w:eastAsia="Arial" w:hAnsi="Arial"/>
          <w:b/>
          <w:bCs/>
          <w:color w:val="1E293B"/>
          <w:sz w:val="24"/>
          <w:szCs w:val="24"/>
        </w:rPr>
        <w:t xml:space="preserve">Pipeline Stage Details</w:t>
      </w:r>
    </w:p>
    <w:p>
      <w:pPr>
        <w:pStyle w:val="ListParagraph"/>
        <w:numPr>
          <w:ilvl w:val="0"/>
          <w:numId w:val="3"/>
        </w:numPr>
        <w:spacing w:before="40" w:after="40"/>
      </w:pPr>
      <w:r>
        <w:rPr>
          <w:rFonts w:ascii="Arial" w:cs="Arial" w:eastAsia="Arial" w:hAnsi="Arial"/>
          <w:b/>
          <w:bCs/>
          <w:color w:val="1E293B"/>
          <w:sz w:val="22"/>
          <w:szCs w:val="22"/>
        </w:rPr>
        <w:t xml:space="preserve">Intent Classifier: </w:t>
      </w:r>
      <w:r>
        <w:rPr>
          <w:rFonts w:ascii="Arial" w:cs="Arial" w:eastAsia="Arial" w:hAnsi="Arial"/>
          <w:color w:val="334155"/>
          <w:sz w:val="22"/>
          <w:szCs w:val="22"/>
        </w:rPr>
        <w:t xml:space="preserve">a lightweight first-pass Ollama call that classifies the question into one of six intent categories (volume_query, entity_query, anomaly_query, field_query, trend_query, comparison_query). This determines which schema and which query template to use.</w:t>
      </w:r>
    </w:p>
    <w:p>
      <w:pPr>
        <w:pStyle w:val="ListParagraph"/>
        <w:numPr>
          <w:ilvl w:val="0"/>
          <w:numId w:val="3"/>
        </w:numPr>
        <w:spacing w:before="40" w:after="40"/>
      </w:pPr>
      <w:r>
        <w:rPr>
          <w:rFonts w:ascii="Arial" w:cs="Arial" w:eastAsia="Arial" w:hAnsi="Arial"/>
          <w:b/>
          <w:bCs/>
          <w:color w:val="1E293B"/>
          <w:sz w:val="22"/>
          <w:szCs w:val="22"/>
        </w:rPr>
        <w:t xml:space="preserve">Query Builder: </w:t>
      </w:r>
      <w:r>
        <w:rPr>
          <w:rFonts w:ascii="Arial" w:cs="Arial" w:eastAsia="Arial" w:hAnsi="Arial"/>
          <w:color w:val="334155"/>
          <w:sz w:val="22"/>
          <w:szCs w:val="22"/>
        </w:rPr>
        <w:t xml:space="preserve">a second Ollama call that translates the natural language question into a parameterised SQL query against dm_analytics, dm_graph, or dm_core (read-only). The query builder uses a constrained prompt that only allows SELECT statements and only against a whitelist of allowed tables. No DROP, INSERT, UPDATE, DELETE, or schema-modifying statements can be generated.</w:t>
      </w:r>
    </w:p>
    <w:p>
      <w:pPr>
        <w:pStyle w:val="ListParagraph"/>
        <w:numPr>
          <w:ilvl w:val="0"/>
          <w:numId w:val="3"/>
        </w:numPr>
        <w:spacing w:before="40" w:after="40"/>
      </w:pPr>
      <w:r>
        <w:rPr>
          <w:rFonts w:ascii="Arial" w:cs="Arial" w:eastAsia="Arial" w:hAnsi="Arial"/>
          <w:b/>
          <w:bCs/>
          <w:color w:val="1E293B"/>
          <w:sz w:val="22"/>
          <w:szCs w:val="22"/>
        </w:rPr>
        <w:t xml:space="preserve">SQL Execution: </w:t>
      </w:r>
      <w:r>
        <w:rPr>
          <w:rFonts w:ascii="Arial" w:cs="Arial" w:eastAsia="Arial" w:hAnsi="Arial"/>
          <w:color w:val="334155"/>
          <w:sz w:val="22"/>
          <w:szCs w:val="22"/>
        </w:rPr>
        <w:t xml:space="preserve">the generated query is validated against a strict allowlist before execution. A query timeout of 10 seconds is enforced. Results are limited to 1,000 rows maximum.</w:t>
      </w:r>
    </w:p>
    <w:p>
      <w:pPr>
        <w:pStyle w:val="ListParagraph"/>
        <w:numPr>
          <w:ilvl w:val="0"/>
          <w:numId w:val="3"/>
        </w:numPr>
        <w:spacing w:before="40" w:after="40"/>
      </w:pPr>
      <w:r>
        <w:rPr>
          <w:rFonts w:ascii="Arial" w:cs="Arial" w:eastAsia="Arial" w:hAnsi="Arial"/>
          <w:b/>
          <w:bCs/>
          <w:color w:val="1E293B"/>
          <w:sz w:val="22"/>
          <w:szCs w:val="22"/>
        </w:rPr>
        <w:t xml:space="preserve">Answer Formatter: </w:t>
      </w:r>
      <w:r>
        <w:rPr>
          <w:rFonts w:ascii="Arial" w:cs="Arial" w:eastAsia="Arial" w:hAnsi="Arial"/>
          <w:color w:val="334155"/>
          <w:sz w:val="22"/>
          <w:szCs w:val="22"/>
        </w:rPr>
        <w:t xml:space="preserve">a final Ollama call takes the raw SQL results and formats them as a plain-language answer appropriate to the question. It also identifies the top 3–5 supporting documents from dm_core.documents that are most relevant to the result.</w:t>
      </w:r>
    </w:p>
    <w:p>
      <w:pPr>
        <w:spacing w:before="0" w:after="80"/>
      </w:pPr>
      <w:r>
        <w:t xml:space="preserve"/>
      </w:r>
    </w:p>
    <w:p>
      <w:pPr>
        <w:spacing w:before="240" w:after="80"/>
      </w:pPr>
      <w:r>
        <w:rPr>
          <w:rFonts w:ascii="Arial" w:cs="Arial" w:eastAsia="Arial" w:hAnsi="Arial"/>
          <w:b/>
          <w:bCs/>
          <w:color w:val="1E293B"/>
          <w:sz w:val="24"/>
          <w:szCs w:val="24"/>
        </w:rPr>
        <w:t xml:space="preserve">Example Queries &amp; Expected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800"/>
        <w:gridCol w:w="2560"/>
      </w:tblGrid>
      <w:tr>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Operator Query</w:t>
            </w:r>
          </w:p>
        </w:tc>
        <w:tc>
          <w:tcPr>
            <w:tcW w:type="dxa" w:w="1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Intent Class</w:t>
            </w:r>
          </w:p>
        </w:tc>
        <w:tc>
          <w:tcPr>
            <w:tcW w:type="dxa" w:w="2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What DocMaster Does</w:t>
            </w:r>
          </w:p>
        </w:tc>
        <w:tc>
          <w:tcPr>
            <w:tcW w:type="dxa" w:w="25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Response Format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How many land deeds were processed last month?</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volume_query</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COUNT from dm_analytics.volume_metrics WHERE doc_type='deed' AND bucket='month'</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Single number + comparison to prior month</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Show me all documents where John Smith appears</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entity_query</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JOIN dm_graph.entity_mentions → dm_core.documents WHERE canonical_name ~= 'john smith'</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Document list with dates and doc types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Which invoices had unusually high amounts this quarter?</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anomaly_query</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SELECT from dm_analytics.anomalies WHERE doc_type='invoice' AND anomaly_type='value_outlier'</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Flagged invoice list with Z-score and amount</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What is the average confidence for handwritten documents?</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field_query</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AVG(confidence) from dm_core.documents WHERE doc_type='handwritten'</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Percentage + trend direction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How has our document volume changed over the past 6 months?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trend_query</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SELECT monthly buckets from dm_analytics.volume_metrics for last 6 months</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Natural language trend summary + data table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Which properties appear in more than 3 deeds?</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comparison_query</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COUNT entity_mentions GROUP BY entity WHERE entity_type='property' HAVING count &gt; 3</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Property list with deed count and date range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Borders>
              <w:top w:val="none" w:color="FFFFFF" w:sz="0"/>
              <w:left w:val="single" w:color="EF4444" w:sz="16"/>
              <w:bottom w:val="none" w:color="FFFFFF" w:sz="0"/>
              <w:right w:val="none" w:color="FFFFFF" w:sz="0"/>
            </w:tcBorders>
            <w:shd w:fill="FEE2E2" w:val="clear"/>
            <w:tcMar>
              <w:top w:type="dxa" w:w="100"/>
              <w:left w:type="dxa" w:w="0"/>
              <w:bottom w:type="dxa" w:w="100"/>
              <w:right w:type="dxa" w:w="0"/>
            </w:tcMar>
          </w:tcPr>
          <w:p>
            <w:r>
              <w:t xml:space="preserve"/>
            </w:r>
          </w:p>
        </w:tc>
        <w:tc>
          <w:tcPr>
            <w:tcBorders>
              <w:top w:val="none" w:color="FFFFFF" w:sz="0"/>
              <w:left w:val="none" w:color="FFFFFF" w:sz="0"/>
              <w:bottom w:val="none" w:color="FFFFFF" w:sz="0"/>
              <w:right w:val="none" w:color="FFFFFF" w:sz="0"/>
            </w:tcBorders>
            <w:shd w:fill="FEE2E2" w:val="clear"/>
            <w:tcMar>
              <w:top w:type="dxa" w:w="100"/>
              <w:left w:type="dxa" w:w="160"/>
              <w:bottom w:type="dxa" w:w="100"/>
              <w:right w:type="dxa" w:w="180"/>
            </w:tcMar>
          </w:tcPr>
          <w:p>
            <w:pPr>
              <w:spacing w:before="0" w:after="40"/>
            </w:pPr>
            <w:r>
              <w:rPr>
                <w:rFonts w:ascii="Arial" w:cs="Arial" w:eastAsia="Arial" w:hAnsi="Arial"/>
                <w:b/>
                <w:bCs/>
                <w:color w:val="1E293B"/>
                <w:sz w:val="21"/>
                <w:szCs w:val="21"/>
              </w:rPr>
              <w:t xml:space="preserve">SQL Injection Prevention</w:t>
            </w:r>
          </w:p>
          <w:p>
            <w:pPr>
              <w:spacing w:before="0" w:after="0"/>
            </w:pPr>
            <w:r>
              <w:rPr>
                <w:rFonts w:ascii="Arial" w:cs="Arial" w:eastAsia="Arial" w:hAnsi="Arial"/>
                <w:i/>
                <w:iCs/>
                <w:color w:val="334155"/>
                <w:sz w:val="20"/>
                <w:szCs w:val="20"/>
              </w:rPr>
              <w:t xml:space="preserve">The Query Builder LLM is instructed via a hardened system prompt that it must only output parameterised queries. All generated SQL passes through a parser that validates: (1) only SELECT statements, (2) only whitelisted tables, (3) no subqueries involving dm_core.operators or dm_core.audit_log, (4) no UNION injections. Any query failing validation returns DM_5041 (query_validation_failed) and is never executed.</w:t>
            </w:r>
          </w:p>
        </w:tc>
      </w:tr>
    </w:tbl>
    <w:p>
      <w:pPr>
        <w:spacing w:before="0" w:after="120"/>
      </w:pPr>
      <w:r>
        <w:t xml:space="preserve"/>
      </w:r>
    </w:p>
    <w:p>
      <w:pPr>
        <w:pStyle w:val="Heading2"/>
        <w:spacing w:before="360" w:after="120"/>
      </w:pPr>
      <w:r>
        <w:rPr>
          <w:rFonts w:ascii="Arial" w:cs="Arial" w:eastAsia="Arial" w:hAnsi="Arial"/>
          <w:b/>
          <w:bCs/>
          <w:color w:val="0E7490"/>
          <w:sz w:val="30"/>
          <w:szCs w:val="30"/>
        </w:rPr>
        <w:t xml:space="preserve">5.6 Module 6 — Report Generator</w:t>
      </w:r>
    </w:p>
    <w:p>
      <w:pPr>
        <w:spacing w:before="60" w:after="100"/>
      </w:pPr>
      <w:r>
        <w:rPr>
          <w:rFonts w:ascii="Arial" w:cs="Arial" w:eastAsia="Arial" w:hAnsi="Arial"/>
          <w:color w:val="334155"/>
          <w:sz w:val="22"/>
          <w:szCs w:val="22"/>
        </w:rPr>
        <w:t xml:space="preserve">The Report Generator produces formatted output files from report templates. It supports three output formats: PDF (formatted summary report), CSV (raw data export for spreadsheet tools), and XLSX (structured multi-sheet workbook for Power BI and Excel). All report files are stored in /opt/docmaster/reports/ and accessible via the API.</w:t>
      </w:r>
    </w:p>
    <w:p>
      <w:pPr>
        <w:spacing w:before="0" w:after="80"/>
      </w:pPr>
      <w:r>
        <w:t xml:space="preserve"/>
      </w:r>
    </w:p>
    <w:p>
      <w:pPr>
        <w:spacing w:before="240" w:after="80"/>
      </w:pPr>
      <w:r>
        <w:rPr>
          <w:rFonts w:ascii="Arial" w:cs="Arial" w:eastAsia="Arial" w:hAnsi="Arial"/>
          <w:b/>
          <w:bCs/>
          <w:color w:val="1E293B"/>
          <w:sz w:val="24"/>
          <w:szCs w:val="24"/>
        </w:rPr>
        <w:t xml:space="preserve">Built-in Report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4200"/>
        <w:gridCol w:w="1960"/>
      </w:tblGrid>
      <w:tr>
        <w:tc>
          <w:tcPr>
            <w:tcW w:type="dxa" w:w="1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Template ID</w:t>
            </w:r>
          </w:p>
        </w:tc>
        <w:tc>
          <w:tcPr>
            <w:tcW w:type="dxa" w:w="2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Name</w:t>
            </w:r>
          </w:p>
        </w:tc>
        <w:tc>
          <w:tcPr>
            <w:tcW w:type="dxa" w:w="4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Contents</w:t>
            </w:r>
          </w:p>
        </w:tc>
        <w:tc>
          <w:tcPr>
            <w:tcW w:type="dxa" w:w="19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Default Schedule</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RPT-001</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Daily Processing Summary</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Yesterday's doc count by type and channel, avg confidence, failed jobs, anomalies detected</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Every day 07:00</w:t>
            </w:r>
          </w:p>
        </w:tc>
      </w:tr>
      <w:tr>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RPT-002</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Weekly Volume Trend</w:t>
            </w:r>
          </w:p>
        </w:tc>
        <w:tc>
          <w:tcPr>
            <w:tcW w:type="dxa" w:w="4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7-day volume chart data, comparison to prior week, top document types</w:t>
            </w:r>
          </w:p>
        </w:tc>
        <w:tc>
          <w:tcPr>
            <w:tcW w:type="dxa" w:w="1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Every Monday 08:00</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RPT-003</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Monthly Institutional Report</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Month-over-month totals, confidence distribution histogram, entity summary, top anomalies</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1st of month 06:00</w:t>
            </w:r>
          </w:p>
        </w:tc>
      </w:tr>
      <w:tr>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RPT-004</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Anomaly Report</w:t>
            </w:r>
          </w:p>
        </w:tc>
        <w:tc>
          <w:tcPr>
            <w:tcW w:type="dxa" w:w="4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All unacknowledged anomalies sorted by severity, with document links and statistical context</w:t>
            </w:r>
          </w:p>
        </w:tc>
        <w:tc>
          <w:tcPr>
            <w:tcW w:type="dxa" w:w="1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Every day 08:00</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RPT-005</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Entity Activity Report</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Most-mentioned entities for the period, new entities added, relationship changes</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Every Monday 08:00</w:t>
            </w:r>
          </w:p>
        </w:tc>
      </w:tr>
      <w:tr>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RPT-006</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Low Confidence Batch</w:t>
            </w:r>
          </w:p>
        </w:tc>
        <w:tc>
          <w:tcPr>
            <w:tcW w:type="dxa" w:w="4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All documents below the configured confidence threshold, grouped by type and channel</w:t>
            </w:r>
          </w:p>
        </w:tc>
        <w:tc>
          <w:tcPr>
            <w:tcW w:type="dxa" w:w="1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Every day 07:00</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RPT-007</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Custom NL Report</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Operator-defined natural language query + result, exported as formatted report</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On-demand only</w:t>
            </w:r>
          </w:p>
        </w:tc>
      </w:tr>
    </w:tbl>
    <w:p>
      <w:pPr>
        <w:spacing w:before="0" w:after="80"/>
      </w:pPr>
      <w:r>
        <w:t xml:space="preserve"/>
      </w:r>
    </w:p>
    <w:p>
      <w:pPr>
        <w:spacing w:before="240" w:after="80"/>
      </w:pPr>
      <w:r>
        <w:rPr>
          <w:rFonts w:ascii="Arial" w:cs="Arial" w:eastAsia="Arial" w:hAnsi="Arial"/>
          <w:b/>
          <w:bCs/>
          <w:color w:val="1E293B"/>
          <w:sz w:val="24"/>
          <w:szCs w:val="24"/>
        </w:rPr>
        <w:t xml:space="preserve">Report Delivery Options</w:t>
      </w:r>
    </w:p>
    <w:p>
      <w:pPr>
        <w:pStyle w:val="ListParagraph"/>
        <w:numPr>
          <w:ilvl w:val="0"/>
          <w:numId w:val="2"/>
        </w:numPr>
        <w:spacing w:before="40" w:after="40"/>
      </w:pPr>
      <w:r>
        <w:rPr>
          <w:rFonts w:ascii="Arial" w:cs="Arial" w:eastAsia="Arial" w:hAnsi="Arial"/>
          <w:b/>
          <w:bCs/>
          <w:color w:val="1E293B"/>
          <w:sz w:val="22"/>
          <w:szCs w:val="22"/>
        </w:rPr>
        <w:t xml:space="preserve">UI download: </w:t>
      </w:r>
      <w:r>
        <w:rPr>
          <w:rFonts w:ascii="Arial" w:cs="Arial" w:eastAsia="Arial" w:hAnsi="Arial"/>
          <w:color w:val="334155"/>
          <w:sz w:val="22"/>
          <w:szCs w:val="22"/>
        </w:rPr>
        <w:t xml:space="preserve">completed reports appear in the Reports section of the Insights UI. Operators download directly.</w:t>
      </w:r>
    </w:p>
    <w:p>
      <w:pPr>
        <w:pStyle w:val="ListParagraph"/>
        <w:numPr>
          <w:ilvl w:val="0"/>
          <w:numId w:val="2"/>
        </w:numPr>
        <w:spacing w:before="40" w:after="40"/>
      </w:pPr>
      <w:r>
        <w:rPr>
          <w:rFonts w:ascii="Arial" w:cs="Arial" w:eastAsia="Arial" w:hAnsi="Arial"/>
          <w:b/>
          <w:bCs/>
          <w:color w:val="1E293B"/>
          <w:sz w:val="22"/>
          <w:szCs w:val="22"/>
        </w:rPr>
        <w:t xml:space="preserve">Email delivery: </w:t>
      </w:r>
      <w:r>
        <w:rPr>
          <w:rFonts w:ascii="Arial" w:cs="Arial" w:eastAsia="Arial" w:hAnsi="Arial"/>
          <w:color w:val="334155"/>
          <w:sz w:val="22"/>
          <w:szCs w:val="22"/>
        </w:rPr>
        <w:t xml:space="preserve">scheduled reports can be emailed to one or more addresses via the dm-bridge SMTP connector.</w:t>
      </w:r>
    </w:p>
    <w:p>
      <w:pPr>
        <w:pStyle w:val="ListParagraph"/>
        <w:numPr>
          <w:ilvl w:val="0"/>
          <w:numId w:val="2"/>
        </w:numPr>
        <w:spacing w:before="40" w:after="40"/>
      </w:pPr>
      <w:r>
        <w:rPr>
          <w:rFonts w:ascii="Arial" w:cs="Arial" w:eastAsia="Arial" w:hAnsi="Arial"/>
          <w:b/>
          <w:bCs/>
          <w:color w:val="1E293B"/>
          <w:sz w:val="22"/>
          <w:szCs w:val="22"/>
        </w:rPr>
        <w:t xml:space="preserve">Webhook delivery: </w:t>
      </w:r>
      <w:r>
        <w:rPr>
          <w:rFonts w:ascii="Arial" w:cs="Arial" w:eastAsia="Arial" w:hAnsi="Arial"/>
          <w:color w:val="334155"/>
          <w:sz w:val="22"/>
          <w:szCs w:val="22"/>
        </w:rPr>
        <w:t xml:space="preserve">completed report file is POSTed as a multipart attachment to a configured webhook URL. Useful for government portals or institutional document management systems.</w:t>
      </w:r>
    </w:p>
    <w:p>
      <w:pPr>
        <w:pStyle w:val="ListParagraph"/>
        <w:numPr>
          <w:ilvl w:val="0"/>
          <w:numId w:val="2"/>
        </w:numPr>
        <w:spacing w:before="40" w:after="40"/>
      </w:pPr>
      <w:r>
        <w:rPr>
          <w:rFonts w:ascii="Arial" w:cs="Arial" w:eastAsia="Arial" w:hAnsi="Arial"/>
          <w:b/>
          <w:bCs/>
          <w:color w:val="1E293B"/>
          <w:sz w:val="22"/>
          <w:szCs w:val="22"/>
        </w:rPr>
        <w:t xml:space="preserve">API retrieval: </w:t>
      </w:r>
      <w:r>
        <w:rPr>
          <w:rFonts w:ascii="Arial" w:cs="Arial" w:eastAsia="Arial" w:hAnsi="Arial"/>
          <w:color w:val="334155"/>
          <w:sz w:val="22"/>
          <w:szCs w:val="22"/>
        </w:rPr>
        <w:t xml:space="preserve">GET /dm/insights/reports/{id}/download streams the report file. Used by BI tools and external dashboards.</w:t>
      </w:r>
    </w:p>
    <w:p>
      <w:pPr>
        <w:spacing w:before="0" w:after="200"/>
      </w:pPr>
      <w:r>
        <w:t xml:space="preserve"/>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r>
              <w:rPr>
                <w:rFonts w:ascii="Arial" w:cs="Arial" w:eastAsia="Arial" w:hAnsi="Arial"/>
                <w:b/>
                <w:bCs/>
                <w:color w:val="FDE68A"/>
                <w:sz w:val="20"/>
                <w:szCs w:val="20"/>
              </w:rPr>
              <w:t xml:space="preserve">SECTION 6 — /DM/INSIGHTS/ API REFERENCE</w:t>
            </w:r>
          </w:p>
          <w:p>
            <w:r>
              <w:rPr>
                <w:rFonts w:ascii="Arial" w:cs="Arial" w:eastAsia="Arial" w:hAnsi="Arial"/>
                <w:color w:val="94A3B8"/>
                <w:sz w:val="18"/>
                <w:szCs w:val="18"/>
              </w:rPr>
              <w:t xml:space="preserve">Complete endpoint specification for the Insights Engine</w:t>
            </w:r>
          </w:p>
        </w:tc>
      </w:tr>
    </w:tbl>
    <w:p>
      <w:pPr>
        <w:spacing w:before="0" w:after="80"/>
      </w:pPr>
      <w:r>
        <w:t xml:space="preserve"/>
      </w:r>
    </w:p>
    <w:p>
      <w:pPr>
        <w:pStyle w:val="Heading1"/>
        <w:pBdr>
          <w:bottom w:val="single" w:color="0E7490" w:sz="8" w:space="2"/>
        </w:pBdr>
        <w:spacing w:before="480" w:after="160"/>
      </w:pPr>
      <w:r>
        <w:rPr>
          <w:rFonts w:ascii="Arial" w:cs="Arial" w:eastAsia="Arial" w:hAnsi="Arial"/>
          <w:b/>
          <w:bCs/>
          <w:color w:val="1E293B"/>
          <w:sz w:val="40"/>
          <w:szCs w:val="40"/>
        </w:rPr>
        <w:t xml:space="preserve">/dm/insights/ API Reference</w:t>
      </w:r>
    </w:p>
    <w:p>
      <w:pPr>
        <w:spacing w:before="60" w:after="100"/>
      </w:pPr>
      <w:r>
        <w:rPr>
          <w:rFonts w:ascii="Arial" w:cs="Arial" w:eastAsia="Arial" w:hAnsi="Arial"/>
          <w:color w:val="334155"/>
          <w:sz w:val="22"/>
          <w:szCs w:val="22"/>
        </w:rPr>
        <w:t xml:space="preserve">All Insights Engine endpoints live under the /dm/insights/ prefix, served by dm-insights.service on port 8444. Authentication uses the same JWT tokens issued by /dm/vault/auth/login — no separate login is required. All endpoints are read-only from the operator's perspective; no endpoint in /dm/insights/ modifies document data.</w:t>
      </w:r>
    </w:p>
    <w:p>
      <w:pPr>
        <w:spacing w:before="0" w:after="80"/>
      </w:pPr>
      <w:r>
        <w:t xml:space="preserve"/>
      </w:r>
    </w:p>
    <w:p>
      <w:pPr>
        <w:pStyle w:val="Heading2"/>
        <w:spacing w:before="360" w:after="120"/>
      </w:pPr>
      <w:r>
        <w:rPr>
          <w:rFonts w:ascii="Arial" w:cs="Arial" w:eastAsia="Arial" w:hAnsi="Arial"/>
          <w:b/>
          <w:bCs/>
          <w:color w:val="0E7490"/>
          <w:sz w:val="30"/>
          <w:szCs w:val="30"/>
        </w:rPr>
        <w:t xml:space="preserve">6.1 Trend &amp; Volume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900"/>
        <w:gridCol w:w="4660"/>
      </w:tblGrid>
      <w:tr>
        <w:tc>
          <w:tcPr>
            <w:tcW w:type="dxa" w:w="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3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9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Auth</w:t>
            </w:r>
          </w:p>
        </w:tc>
        <w:tc>
          <w:tcPr>
            <w:tcW w:type="dxa" w:w="46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GET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/dm/insights/trends/volume</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Bearer</w:t>
            </w:r>
          </w:p>
        </w:tc>
        <w:tc>
          <w:tcPr>
            <w:tcW w:type="dxa" w:w="4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Document volume over time. Params: ?bucket=day|week|month &amp;from= &amp;to= &amp;doc_type= &amp;channel=</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GET</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/dm/insights/trends/confidence</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Bearer</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Average confidence trend over time. Same params as volume.</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GET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/dm/insights/trends/channels</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Bearer</w:t>
            </w:r>
          </w:p>
        </w:tc>
        <w:tc>
          <w:tcPr>
            <w:tcW w:type="dxa" w:w="4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Ingestion channel breakdown over time. Shows volume per channel per bucket.</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GET</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/dm/insights/summary</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Bearer</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Snapshot summary: totals, averages, and trend direction for the last 30 days. Powers the Insights dashboard cards.</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GET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/dm/insights/field-stats</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Bearer</w:t>
            </w:r>
          </w:p>
        </w:tc>
        <w:tc>
          <w:tcPr>
            <w:tcW w:type="dxa" w:w="4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Field extraction statistics by document type. Params: ?doc_type= &amp;field_name=</w:t>
            </w:r>
          </w:p>
        </w:tc>
      </w:tr>
    </w:tbl>
    <w:p>
      <w:pPr>
        <w:spacing w:before="0" w:after="120"/>
      </w:pPr>
      <w:r>
        <w:t xml:space="preserve"/>
      </w:r>
    </w:p>
    <w:p>
      <w:pPr>
        <w:pStyle w:val="Heading2"/>
        <w:spacing w:before="360" w:after="120"/>
      </w:pPr>
      <w:r>
        <w:rPr>
          <w:rFonts w:ascii="Arial" w:cs="Arial" w:eastAsia="Arial" w:hAnsi="Arial"/>
          <w:b/>
          <w:bCs/>
          <w:color w:val="0E7490"/>
          <w:sz w:val="30"/>
          <w:szCs w:val="30"/>
        </w:rPr>
        <w:t xml:space="preserve">6.2 Entity Graph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900"/>
        <w:gridCol w:w="4460"/>
      </w:tblGrid>
      <w:tr>
        <w:tc>
          <w:tcPr>
            <w:tcW w:type="dxa" w:w="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3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9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Auth</w:t>
            </w:r>
          </w:p>
        </w:tc>
        <w:tc>
          <w:tcPr>
            <w:tcW w:type="dxa" w:w="44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GET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/dm/insights/entities</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Bearer</w:t>
            </w:r>
          </w:p>
        </w:tc>
        <w:tc>
          <w:tcPr>
            <w:tcW w:type="dxa" w:w="4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List all entities. Params: ?type= &amp;search= &amp;min_mentions= &amp;page= &amp;limit=</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GET</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/dm/insights/entities/{id}</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Bearer</w:t>
            </w:r>
          </w:p>
        </w:tc>
        <w:tc>
          <w:tcPr>
            <w:tcW w:type="dxa" w:w="4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Full entity record: canonical name, aliases, document count, all mention dates.</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GET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/dm/insights/entities/{id}/documents</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Bearer</w:t>
            </w:r>
          </w:p>
        </w:tc>
        <w:tc>
          <w:tcPr>
            <w:tcW w:type="dxa" w:w="4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All documents in which this entity appears, with mention context.</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GET</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/dm/insights/entities/{id}/relationships</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Bearer</w:t>
            </w:r>
          </w:p>
        </w:tc>
        <w:tc>
          <w:tcPr>
            <w:tcW w:type="dxa" w:w="4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All entities related to this entity, with relationship type and document count.</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GET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/dm/insights/graph/subgraph</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Bearer</w:t>
            </w:r>
          </w:p>
        </w:tc>
        <w:tc>
          <w:tcPr>
            <w:tcW w:type="dxa" w:w="4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Neighbourhood graph for a given entity. Params: ?entity_id= &amp;depth=1|2 Returns nodes + edges for visualisation.</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GET</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/dm/insights/graph/search</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Bearer</w:t>
            </w:r>
          </w:p>
        </w:tc>
        <w:tc>
          <w:tcPr>
            <w:tcW w:type="dxa" w:w="4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Cross-entity search. Find all entities co-appearing with a given entity in the same documents.</w:t>
            </w:r>
          </w:p>
        </w:tc>
      </w:tr>
    </w:tbl>
    <w:p>
      <w:pPr>
        <w:spacing w:before="0" w:after="120"/>
      </w:pPr>
      <w:r>
        <w:t xml:space="preserve"/>
      </w:r>
    </w:p>
    <w:p>
      <w:pPr>
        <w:pStyle w:val="Heading2"/>
        <w:spacing w:before="360" w:after="120"/>
      </w:pPr>
      <w:r>
        <w:rPr>
          <w:rFonts w:ascii="Arial" w:cs="Arial" w:eastAsia="Arial" w:hAnsi="Arial"/>
          <w:b/>
          <w:bCs/>
          <w:color w:val="0E7490"/>
          <w:sz w:val="30"/>
          <w:szCs w:val="30"/>
        </w:rPr>
        <w:t xml:space="preserve">6.3 Anomaly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900"/>
        <w:gridCol w:w="4460"/>
      </w:tblGrid>
      <w:tr>
        <w:tc>
          <w:tcPr>
            <w:tcW w:type="dxa" w:w="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3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9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Auth</w:t>
            </w:r>
          </w:p>
        </w:tc>
        <w:tc>
          <w:tcPr>
            <w:tcW w:type="dxa" w:w="44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GET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/dm/insights/anomalies</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Bearer</w:t>
            </w:r>
          </w:p>
        </w:tc>
        <w:tc>
          <w:tcPr>
            <w:tcW w:type="dxa" w:w="4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List anomalies. Params: ?severity= &amp;doc_type= &amp;acknowledged=false &amp;from= &amp;to=</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GET</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/dm/insights/anomalies/{id}</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Bearer</w:t>
            </w:r>
          </w:p>
        </w:tc>
        <w:tc>
          <w:tcPr>
            <w:tcW w:type="dxa" w:w="4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Full anomaly record with statistical context, document link, and field value.</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PATCH</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/dm/insights/anomalies/{id}/acknowledge</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Bearer</w:t>
            </w:r>
          </w:p>
        </w:tc>
        <w:tc>
          <w:tcPr>
            <w:tcW w:type="dxa" w:w="4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Mark anomaly as acknowledged. Records operator ID and timestamp.</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POST</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/dm/insights/anomalies/batch-acknowledge</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Admin</w:t>
            </w:r>
          </w:p>
        </w:tc>
        <w:tc>
          <w:tcPr>
            <w:tcW w:type="dxa" w:w="4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Bulk-acknowledge multiple anomalies. Body: {ids: [...], note: string}</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GET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/dm/insights/anomalies/stats</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Bearer</w:t>
            </w:r>
          </w:p>
        </w:tc>
        <w:tc>
          <w:tcPr>
            <w:tcW w:type="dxa" w:w="4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Anomaly count by type and severity for the last 30 days. Powers the anomaly summary card.</w:t>
            </w:r>
          </w:p>
        </w:tc>
      </w:tr>
    </w:tbl>
    <w:p>
      <w:pPr>
        <w:spacing w:before="0" w:after="120"/>
      </w:pPr>
      <w:r>
        <w:t xml:space="preserve"/>
      </w:r>
    </w:p>
    <w:p>
      <w:pPr>
        <w:pStyle w:val="Heading2"/>
        <w:spacing w:before="360" w:after="120"/>
      </w:pPr>
      <w:r>
        <w:rPr>
          <w:rFonts w:ascii="Arial" w:cs="Arial" w:eastAsia="Arial" w:hAnsi="Arial"/>
          <w:b/>
          <w:bCs/>
          <w:color w:val="0E7490"/>
          <w:sz w:val="30"/>
          <w:szCs w:val="30"/>
        </w:rPr>
        <w:t xml:space="preserve">6.4 Natural Language Query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900"/>
        <w:gridCol w:w="4860"/>
      </w:tblGrid>
      <w:tr>
        <w:tc>
          <w:tcPr>
            <w:tcW w:type="dxa" w:w="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2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9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Auth</w:t>
            </w:r>
          </w:p>
        </w:tc>
        <w:tc>
          <w:tcPr>
            <w:tcW w:type="dxa" w:w="48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POST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/dm/insights/query</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Bearer</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Submit a natural language question. Body: {question: string}. Returns answer text + supporting doc IDs + raw data table.</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GET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/dm/insights/query/history</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Bearer</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Recent NL queries for this operator with their answers. Useful for re-running or refining prior queries.</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POST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/dm/insights/query/export</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Bearer</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Execute a NL query and export the result as a report. Body: {question: string, format: 'pdf'|'csv'|'xlsx'}</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GET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/dm/insights/query/suggestions</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Bearer</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AI-generated query suggestions based on the current vault content and recent anomalies. Helps operators discover useful questions.</w:t>
            </w:r>
          </w:p>
        </w:tc>
      </w:tr>
    </w:tbl>
    <w:p>
      <w:pPr>
        <w:spacing w:before="0" w:after="120"/>
      </w:pPr>
      <w:r>
        <w:t xml:space="preserve"/>
      </w:r>
    </w:p>
    <w:p>
      <w:pPr>
        <w:pStyle w:val="Heading2"/>
        <w:spacing w:before="360" w:after="120"/>
      </w:pPr>
      <w:r>
        <w:rPr>
          <w:rFonts w:ascii="Arial" w:cs="Arial" w:eastAsia="Arial" w:hAnsi="Arial"/>
          <w:b/>
          <w:bCs/>
          <w:color w:val="0E7490"/>
          <w:sz w:val="30"/>
          <w:szCs w:val="30"/>
        </w:rPr>
        <w:t xml:space="preserve">6.5 Reports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900"/>
        <w:gridCol w:w="4460"/>
      </w:tblGrid>
      <w:tr>
        <w:tc>
          <w:tcPr>
            <w:tcW w:type="dxa" w:w="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3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9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Auth</w:t>
            </w:r>
          </w:p>
        </w:tc>
        <w:tc>
          <w:tcPr>
            <w:tcW w:type="dxa" w:w="44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GET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/dm/insights/reports/templates</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Bearer</w:t>
            </w:r>
          </w:p>
        </w:tc>
        <w:tc>
          <w:tcPr>
            <w:tcW w:type="dxa" w:w="4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List all report templates (built-in and custom).</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POST</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/dm/insights/reports/templates</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Admin</w:t>
            </w:r>
          </w:p>
        </w:tc>
        <w:tc>
          <w:tcPr>
            <w:tcW w:type="dxa" w:w="4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Create a custom report template. Body: {name, config, output_format}</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GET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/dm/insights/reports/runs</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Bearer</w:t>
            </w:r>
          </w:p>
        </w:tc>
        <w:tc>
          <w:tcPr>
            <w:tcW w:type="dxa" w:w="4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List all report run history with status, output format, and file size.</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POST</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/dm/insights/reports/run</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Bearer</w:t>
            </w:r>
          </w:p>
        </w:tc>
        <w:tc>
          <w:tcPr>
            <w:tcW w:type="dxa" w:w="4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Trigger an on-demand report run. Body: {template_id}. Returns run_id for polling.</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GET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/dm/insights/reports/runs/{id}</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Bearer</w:t>
            </w:r>
          </w:p>
        </w:tc>
        <w:tc>
          <w:tcPr>
            <w:tcW w:type="dxa" w:w="4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Poll report run status: queued|running|complete|failed.</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GET</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/dm/insights/reports/runs/{id}/download</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Bearer</w:t>
            </w:r>
          </w:p>
        </w:tc>
        <w:tc>
          <w:tcPr>
            <w:tcW w:type="dxa" w:w="4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Stream completed report file (PDF, CSV, or XLSX).</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GET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/dm/insights/reports/scheduled</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Admin</w:t>
            </w:r>
          </w:p>
        </w:tc>
        <w:tc>
          <w:tcPr>
            <w:tcW w:type="dxa" w:w="4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List all scheduled report jobs with cron expressions and next run times.</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PATCH</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/dm/insights/reports/scheduled/{id}</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Admin</w:t>
            </w:r>
          </w:p>
        </w:tc>
        <w:tc>
          <w:tcPr>
            <w:tcW w:type="dxa" w:w="4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Update schedule, email recipients, or webhook URL for a scheduled report.</w:t>
            </w:r>
          </w:p>
        </w:tc>
      </w:tr>
    </w:tbl>
    <w:p>
      <w:pPr>
        <w:spacing w:before="0" w:after="200"/>
      </w:pPr>
      <w:r>
        <w:t xml:space="preserve"/>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r>
              <w:rPr>
                <w:rFonts w:ascii="Arial" w:cs="Arial" w:eastAsia="Arial" w:hAnsi="Arial"/>
                <w:b/>
                <w:bCs/>
                <w:color w:val="FDE68A"/>
                <w:sz w:val="20"/>
                <w:szCs w:val="20"/>
              </w:rPr>
              <w:t xml:space="preserve">SECTION 7 — UI: INSIGHTS SECTION</w:t>
            </w:r>
          </w:p>
          <w:p>
            <w:r>
              <w:rPr>
                <w:rFonts w:ascii="Arial" w:cs="Arial" w:eastAsia="Arial" w:hAnsi="Arial"/>
                <w:color w:val="94A3B8"/>
                <w:sz w:val="18"/>
                <w:szCs w:val="18"/>
              </w:rPr>
              <w:t xml:space="preserve">New navigation item and five sub-views</w:t>
            </w:r>
          </w:p>
        </w:tc>
      </w:tr>
    </w:tbl>
    <w:p>
      <w:pPr>
        <w:spacing w:before="0" w:after="80"/>
      </w:pPr>
      <w:r>
        <w:t xml:space="preserve"/>
      </w:r>
    </w:p>
    <w:p>
      <w:pPr>
        <w:pStyle w:val="Heading1"/>
        <w:pBdr>
          <w:bottom w:val="single" w:color="0E7490" w:sz="8" w:space="2"/>
        </w:pBdr>
        <w:spacing w:before="480" w:after="160"/>
      </w:pPr>
      <w:r>
        <w:rPr>
          <w:rFonts w:ascii="Arial" w:cs="Arial" w:eastAsia="Arial" w:hAnsi="Arial"/>
          <w:b/>
          <w:bCs/>
          <w:color w:val="1E293B"/>
          <w:sz w:val="40"/>
          <w:szCs w:val="40"/>
        </w:rPr>
        <w:t xml:space="preserve">UI: Insights Section</w:t>
      </w:r>
    </w:p>
    <w:p>
      <w:pPr>
        <w:spacing w:before="60" w:after="100"/>
      </w:pPr>
      <w:r>
        <w:rPr>
          <w:rFonts w:ascii="Arial" w:cs="Arial" w:eastAsia="Arial" w:hAnsi="Arial"/>
          <w:color w:val="334155"/>
          <w:sz w:val="22"/>
          <w:szCs w:val="22"/>
        </w:rPr>
        <w:t xml:space="preserve">The Insights Engine adds a new top-level navigation item to the DocMaster sidebar: Insights (icon: ✦). This sits below Documents and above Queue in the navigation hierarchy. The Insights section contains five sub-views accessible via a secondary horizontal tab bar at the top of the content area.</w:t>
      </w:r>
    </w:p>
    <w:p>
      <w:pPr>
        <w:spacing w:before="0" w:after="80"/>
      </w:pPr>
      <w:r>
        <w:t xml:space="preserve"/>
      </w:r>
    </w:p>
    <w:p>
      <w:pPr>
        <w:pStyle w:val="Heading2"/>
        <w:spacing w:before="360" w:after="120"/>
      </w:pPr>
      <w:r>
        <w:rPr>
          <w:rFonts w:ascii="Arial" w:cs="Arial" w:eastAsia="Arial" w:hAnsi="Arial"/>
          <w:b/>
          <w:bCs/>
          <w:color w:val="0E7490"/>
          <w:sz w:val="30"/>
          <w:szCs w:val="30"/>
        </w:rPr>
        <w:t xml:space="preserve">7.1 Navigation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80"/>
              <w:left w:type="dxa" w:w="180"/>
              <w:bottom w:type="dxa" w:w="0"/>
              <w:right w:type="dxa" w:w="180"/>
            </w:tcMar>
          </w:tcP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Sidebar Navigation (updated for Phase 5):</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  Dashboard</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  Documents</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   Insights          ← NEW (Phase 5)</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   Queue</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  Integrations</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   System Health</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   Settings</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Insights Sub-Navigation (horizontal tabs):</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Overview  |  Trends  |  Entities  |  Anomalies  |  Query  |  Reports</w:t>
            </w:r>
          </w:p>
        </w:tc>
      </w:tr>
      <w:tr>
        <w:tc>
          <w:tcPr>
            <w:tcBorders>
              <w:top w:val="none" w:color="FFFFFF" w:sz="0"/>
              <w:left w:val="none" w:color="FFFFFF" w:sz="0"/>
              <w:bottom w:val="none" w:color="FFFFFF" w:sz="0"/>
              <w:right w:val="none" w:color="FFFFFF" w:sz="0"/>
            </w:tcBorders>
            <w:shd w:fill="0F172A" w:val="clear"/>
            <w:tcMar>
              <w:top w:type="dxa" w:w="0"/>
              <w:left w:type="dxa" w:w="180"/>
              <w:bottom w:type="dxa" w:w="80"/>
              <w:right w:type="dxa" w:w="180"/>
            </w:tcMar>
          </w:tcPr>
          <w:p/>
        </w:tc>
      </w:tr>
    </w:tbl>
    <w:p>
      <w:pPr>
        <w:spacing w:before="0" w:after="120"/>
      </w:pPr>
      <w:r>
        <w:t xml:space="preserve"/>
      </w:r>
    </w:p>
    <w:p>
      <w:pPr>
        <w:pStyle w:val="Heading2"/>
        <w:spacing w:before="360" w:after="120"/>
      </w:pPr>
      <w:r>
        <w:rPr>
          <w:rFonts w:ascii="Arial" w:cs="Arial" w:eastAsia="Arial" w:hAnsi="Arial"/>
          <w:b/>
          <w:bCs/>
          <w:color w:val="0E7490"/>
          <w:sz w:val="30"/>
          <w:szCs w:val="30"/>
        </w:rPr>
        <w:t xml:space="preserve">7.2 Insights Overview Tab</w:t>
      </w:r>
    </w:p>
    <w:p>
      <w:pPr>
        <w:spacing w:before="60" w:after="100"/>
      </w:pPr>
      <w:r>
        <w:rPr>
          <w:rFonts w:ascii="Arial" w:cs="Arial" w:eastAsia="Arial" w:hAnsi="Arial"/>
          <w:color w:val="334155"/>
          <w:sz w:val="22"/>
          <w:szCs w:val="22"/>
        </w:rPr>
        <w:t xml:space="preserve">The Overview tab is the landing page for the Insights section. It presents a set of high-level summary cards that give the operator an immediate understanding of the state of their document vault from an analytics perspective. The data is served by GET /dm/insights/summary and refreshes every 60 seconds.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Card</w:t>
            </w:r>
          </w:p>
        </w:tc>
        <w:tc>
          <w:tcPr>
            <w:tcW w:type="dxa" w:w="4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Metric Shown</w:t>
            </w:r>
          </w:p>
        </w:tc>
        <w:tc>
          <w:tcPr>
            <w:tcW w:type="dxa" w:w="31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Source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Total Indexed</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Total documents in the insights index vs total in the vault</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/dm/insights/summary</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30-Day Volume</w:t>
            </w:r>
          </w:p>
        </w:tc>
        <w:tc>
          <w:tcPr>
            <w:tcW w:type="dxa" w:w="4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Document count last 30 days with % change vs prior 30 days</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dm_analytics.volume_metrics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Avg Confidence Trend</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30-day average confidence with trend arrow (up/down/flat)</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dm_analytics.volume_metrics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Unacknowledged Anomalies</w:t>
            </w:r>
          </w:p>
        </w:tc>
        <w:tc>
          <w:tcPr>
            <w:tcW w:type="dxa" w:w="4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Count of open anomalies by severity (critical / warning / info)</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dm_analytics.anomalies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Entity Graph Size</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Total entities indexed, new entities this week</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dm_graph.entities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Pending Reports</w:t>
            </w:r>
          </w:p>
        </w:tc>
        <w:tc>
          <w:tcPr>
            <w:tcW w:type="dxa" w:w="4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Scheduled reports due in next 24 hours + any currently running</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dm_reports.scheduled_reports</w:t>
            </w:r>
          </w:p>
        </w:tc>
      </w:tr>
    </w:tbl>
    <w:p>
      <w:pPr>
        <w:spacing w:before="0" w:after="120"/>
      </w:pPr>
      <w:r>
        <w:t xml:space="preserve"/>
      </w:r>
    </w:p>
    <w:p>
      <w:pPr>
        <w:pStyle w:val="Heading2"/>
        <w:spacing w:before="360" w:after="120"/>
      </w:pPr>
      <w:r>
        <w:rPr>
          <w:rFonts w:ascii="Arial" w:cs="Arial" w:eastAsia="Arial" w:hAnsi="Arial"/>
          <w:b/>
          <w:bCs/>
          <w:color w:val="0E7490"/>
          <w:sz w:val="30"/>
          <w:szCs w:val="30"/>
        </w:rPr>
        <w:t xml:space="preserve">7.3 Trends Tab</w:t>
      </w:r>
    </w:p>
    <w:p>
      <w:pPr>
        <w:spacing w:before="60" w:after="100"/>
      </w:pPr>
      <w:r>
        <w:rPr>
          <w:rFonts w:ascii="Arial" w:cs="Arial" w:eastAsia="Arial" w:hAnsi="Arial"/>
          <w:color w:val="334155"/>
          <w:sz w:val="22"/>
          <w:szCs w:val="22"/>
        </w:rPr>
        <w:t xml:space="preserve">The Trends tab contains interactive charts built on the time-bucketed volume_metrics data. Operators can adjust the time range (7 days, 30 days, 90 days, 12 months, all time), the bucket size (daily, weekly, monthly), and apply filters by document type or ingestion channel.</w:t>
      </w:r>
    </w:p>
    <w:p>
      <w:pPr>
        <w:spacing w:before="0" w:after="80"/>
      </w:pPr>
      <w:r>
        <w:t xml:space="preserve"/>
      </w:r>
    </w:p>
    <w:p>
      <w:pPr>
        <w:pStyle w:val="ListParagraph"/>
        <w:numPr>
          <w:ilvl w:val="0"/>
          <w:numId w:val="2"/>
        </w:numPr>
        <w:spacing w:before="40" w:after="40"/>
      </w:pPr>
      <w:r>
        <w:rPr>
          <w:rFonts w:ascii="Arial" w:cs="Arial" w:eastAsia="Arial" w:hAnsi="Arial"/>
          <w:b/>
          <w:bCs/>
          <w:color w:val="1E293B"/>
          <w:sz w:val="22"/>
          <w:szCs w:val="22"/>
        </w:rPr>
        <w:t xml:space="preserve">Volume chart: </w:t>
      </w:r>
      <w:r>
        <w:rPr>
          <w:rFonts w:ascii="Arial" w:cs="Arial" w:eastAsia="Arial" w:hAnsi="Arial"/>
          <w:color w:val="334155"/>
          <w:sz w:val="22"/>
          <w:szCs w:val="22"/>
        </w:rPr>
        <w:t xml:space="preserve">bar chart showing document count per time bucket. Stacked by document type if 'show breakdown' is toggled.</w:t>
      </w:r>
    </w:p>
    <w:p>
      <w:pPr>
        <w:pStyle w:val="ListParagraph"/>
        <w:numPr>
          <w:ilvl w:val="0"/>
          <w:numId w:val="2"/>
        </w:numPr>
        <w:spacing w:before="40" w:after="40"/>
      </w:pPr>
      <w:r>
        <w:rPr>
          <w:rFonts w:ascii="Arial" w:cs="Arial" w:eastAsia="Arial" w:hAnsi="Arial"/>
          <w:b/>
          <w:bCs/>
          <w:color w:val="1E293B"/>
          <w:sz w:val="22"/>
          <w:szCs w:val="22"/>
        </w:rPr>
        <w:t xml:space="preserve">Confidence trend: </w:t>
      </w:r>
      <w:r>
        <w:rPr>
          <w:rFonts w:ascii="Arial" w:cs="Arial" w:eastAsia="Arial" w:hAnsi="Arial"/>
          <w:color w:val="334155"/>
          <w:sz w:val="22"/>
          <w:szCs w:val="22"/>
        </w:rPr>
        <w:t xml:space="preserve">line chart showing average confidence over time with the review threshold line overlaid.</w:t>
      </w:r>
    </w:p>
    <w:p>
      <w:pPr>
        <w:pStyle w:val="ListParagraph"/>
        <w:numPr>
          <w:ilvl w:val="0"/>
          <w:numId w:val="2"/>
        </w:numPr>
        <w:spacing w:before="40" w:after="40"/>
      </w:pPr>
      <w:r>
        <w:rPr>
          <w:rFonts w:ascii="Arial" w:cs="Arial" w:eastAsia="Arial" w:hAnsi="Arial"/>
          <w:b/>
          <w:bCs/>
          <w:color w:val="1E293B"/>
          <w:sz w:val="22"/>
          <w:szCs w:val="22"/>
        </w:rPr>
        <w:t xml:space="preserve">Channel breakdown: </w:t>
      </w:r>
      <w:r>
        <w:rPr>
          <w:rFonts w:ascii="Arial" w:cs="Arial" w:eastAsia="Arial" w:hAnsi="Arial"/>
          <w:color w:val="334155"/>
          <w:sz w:val="22"/>
          <w:szCs w:val="22"/>
        </w:rPr>
        <w:t xml:space="preserve">stacked area chart showing ingestion volume per channel (drop, smb, email, fax, api). Helps identify which input sources are growing or declining.</w:t>
      </w:r>
    </w:p>
    <w:p>
      <w:pPr>
        <w:pStyle w:val="ListParagraph"/>
        <w:numPr>
          <w:ilvl w:val="0"/>
          <w:numId w:val="2"/>
        </w:numPr>
        <w:spacing w:before="40" w:after="40"/>
      </w:pPr>
      <w:r>
        <w:rPr>
          <w:rFonts w:ascii="Arial" w:cs="Arial" w:eastAsia="Arial" w:hAnsi="Arial"/>
          <w:b/>
          <w:bCs/>
          <w:color w:val="1E293B"/>
          <w:sz w:val="22"/>
          <w:szCs w:val="22"/>
        </w:rPr>
        <w:t xml:space="preserve">Failure rate: </w:t>
      </w:r>
      <w:r>
        <w:rPr>
          <w:rFonts w:ascii="Arial" w:cs="Arial" w:eastAsia="Arial" w:hAnsi="Arial"/>
          <w:color w:val="334155"/>
          <w:sz w:val="22"/>
          <w:szCs w:val="22"/>
        </w:rPr>
        <w:t xml:space="preserve">line chart showing the percentage of failed/review jobs over time. Spikes indicate OCR quality problems or document type changes.</w:t>
      </w:r>
    </w:p>
    <w:p>
      <w:pPr>
        <w:pStyle w:val="ListParagraph"/>
        <w:numPr>
          <w:ilvl w:val="0"/>
          <w:numId w:val="2"/>
        </w:numPr>
        <w:spacing w:before="40" w:after="40"/>
      </w:pPr>
      <w:r>
        <w:rPr>
          <w:rFonts w:ascii="Arial" w:cs="Arial" w:eastAsia="Arial" w:hAnsi="Arial"/>
          <w:b/>
          <w:bCs/>
          <w:color w:val="1E293B"/>
          <w:sz w:val="22"/>
          <w:szCs w:val="22"/>
        </w:rPr>
        <w:t xml:space="preserve">Export button: </w:t>
      </w:r>
      <w:r>
        <w:rPr>
          <w:rFonts w:ascii="Arial" w:cs="Arial" w:eastAsia="Arial" w:hAnsi="Arial"/>
          <w:color w:val="334155"/>
          <w:sz w:val="22"/>
          <w:szCs w:val="22"/>
        </w:rPr>
        <w:t xml:space="preserve">exports the currently displayed chart data as CSV or the view as a PDF report.</w:t>
      </w:r>
    </w:p>
    <w:p>
      <w:pPr>
        <w:spacing w:before="0" w:after="120"/>
      </w:pPr>
      <w:r>
        <w:t xml:space="preserve"/>
      </w:r>
    </w:p>
    <w:p>
      <w:pPr>
        <w:pStyle w:val="Heading2"/>
        <w:spacing w:before="360" w:after="120"/>
      </w:pPr>
      <w:r>
        <w:rPr>
          <w:rFonts w:ascii="Arial" w:cs="Arial" w:eastAsia="Arial" w:hAnsi="Arial"/>
          <w:b/>
          <w:bCs/>
          <w:color w:val="0E7490"/>
          <w:sz w:val="30"/>
          <w:szCs w:val="30"/>
        </w:rPr>
        <w:t xml:space="preserve">7.4 Entities Tab</w:t>
      </w:r>
    </w:p>
    <w:p>
      <w:pPr>
        <w:spacing w:before="60" w:after="100"/>
      </w:pPr>
      <w:r>
        <w:rPr>
          <w:rFonts w:ascii="Arial" w:cs="Arial" w:eastAsia="Arial" w:hAnsi="Arial"/>
          <w:color w:val="334155"/>
          <w:sz w:val="22"/>
          <w:szCs w:val="22"/>
        </w:rPr>
        <w:t xml:space="preserve">The Entities tab surfaces the entity graph. It has two sub-views: a searchable list view and an interactive graph visualisation.</w:t>
      </w:r>
    </w:p>
    <w:p>
      <w:pPr>
        <w:spacing w:before="0" w:after="80"/>
      </w:pPr>
      <w:r>
        <w:t xml:space="preserve"/>
      </w:r>
    </w:p>
    <w:p>
      <w:pPr>
        <w:pStyle w:val="ListParagraph"/>
        <w:numPr>
          <w:ilvl w:val="0"/>
          <w:numId w:val="2"/>
        </w:numPr>
        <w:spacing w:before="40" w:after="40"/>
      </w:pPr>
      <w:r>
        <w:rPr>
          <w:rFonts w:ascii="Arial" w:cs="Arial" w:eastAsia="Arial" w:hAnsi="Arial"/>
          <w:b/>
          <w:bCs/>
          <w:color w:val="1E293B"/>
          <w:sz w:val="22"/>
          <w:szCs w:val="22"/>
        </w:rPr>
        <w:t xml:space="preserve">List view: </w:t>
      </w:r>
      <w:r>
        <w:rPr>
          <w:rFonts w:ascii="Arial" w:cs="Arial" w:eastAsia="Arial" w:hAnsi="Arial"/>
          <w:color w:val="334155"/>
          <w:sz w:val="22"/>
          <w:szCs w:val="22"/>
        </w:rPr>
        <w:t xml:space="preserve">a filterable table of all entities with columns for type, canonical name, document count, and date range. Clicking an entity opens a detail panel showing all documents in which it appears and all its known relationships.</w:t>
      </w:r>
    </w:p>
    <w:p>
      <w:pPr>
        <w:pStyle w:val="ListParagraph"/>
        <w:numPr>
          <w:ilvl w:val="0"/>
          <w:numId w:val="2"/>
        </w:numPr>
        <w:spacing w:before="40" w:after="40"/>
      </w:pPr>
      <w:r>
        <w:rPr>
          <w:rFonts w:ascii="Arial" w:cs="Arial" w:eastAsia="Arial" w:hAnsi="Arial"/>
          <w:b/>
          <w:bCs/>
          <w:color w:val="1E293B"/>
          <w:sz w:val="22"/>
          <w:szCs w:val="22"/>
        </w:rPr>
        <w:t xml:space="preserve">Graph view: </w:t>
      </w:r>
      <w:r>
        <w:rPr>
          <w:rFonts w:ascii="Arial" w:cs="Arial" w:eastAsia="Arial" w:hAnsi="Arial"/>
          <w:color w:val="334155"/>
          <w:sz w:val="22"/>
          <w:szCs w:val="22"/>
        </w:rPr>
        <w:t xml:space="preserve">a force-directed node-link diagram powered by D3.js (bundled, no CDN). Nodes are entities, edges are relationships. Node size scales with document_count. Edge thickness scales with co-appearance frequency. Operators can click any node to expand its neighbourhood (depth=1 or depth=2). The graph is rendered on the client side from the /dm/insights/graph/subgraph API response.</w:t>
      </w:r>
    </w:p>
    <w:p>
      <w:pPr>
        <w:pStyle w:val="ListParagraph"/>
        <w:numPr>
          <w:ilvl w:val="0"/>
          <w:numId w:val="2"/>
        </w:numPr>
        <w:spacing w:before="40" w:after="40"/>
      </w:pPr>
      <w:r>
        <w:rPr>
          <w:rFonts w:ascii="Arial" w:cs="Arial" w:eastAsia="Arial" w:hAnsi="Arial"/>
          <w:b/>
          <w:bCs/>
          <w:color w:val="1E293B"/>
          <w:sz w:val="22"/>
          <w:szCs w:val="22"/>
        </w:rPr>
        <w:t xml:space="preserve">Entity search: </w:t>
      </w:r>
      <w:r>
        <w:rPr>
          <w:rFonts w:ascii="Arial" w:cs="Arial" w:eastAsia="Arial" w:hAnsi="Arial"/>
          <w:color w:val="334155"/>
          <w:sz w:val="22"/>
          <w:szCs w:val="22"/>
        </w:rPr>
        <w:t xml:space="preserve">full-text search across canonical_name and aliases. Results appear instantly using the existing pgvector GIN index.</w:t>
      </w:r>
    </w:p>
    <w:p>
      <w:pPr>
        <w:spacing w:before="0" w:after="120"/>
      </w:pPr>
      <w:r>
        <w:t xml:space="preserve"/>
      </w:r>
    </w:p>
    <w:p>
      <w:pPr>
        <w:pStyle w:val="Heading2"/>
        <w:spacing w:before="360" w:after="120"/>
      </w:pPr>
      <w:r>
        <w:rPr>
          <w:rFonts w:ascii="Arial" w:cs="Arial" w:eastAsia="Arial" w:hAnsi="Arial"/>
          <w:b/>
          <w:bCs/>
          <w:color w:val="0E7490"/>
          <w:sz w:val="30"/>
          <w:szCs w:val="30"/>
        </w:rPr>
        <w:t xml:space="preserve">7.5 Anomalies Tab</w:t>
      </w:r>
    </w:p>
    <w:p>
      <w:pPr>
        <w:spacing w:before="60" w:after="100"/>
      </w:pPr>
      <w:r>
        <w:rPr>
          <w:rFonts w:ascii="Arial" w:cs="Arial" w:eastAsia="Arial" w:hAnsi="Arial"/>
          <w:color w:val="334155"/>
          <w:sz w:val="22"/>
          <w:szCs w:val="22"/>
        </w:rPr>
        <w:t xml:space="preserve">The Anomalies tab presents all unacknowledged anomalies in a prioritised list. Critical anomalies are shown at the top with a red left border. Warning anomalies have an orange border. Info anomalies have a gray border. The design follows the same card-based pattern established in the System Health page.</w:t>
      </w:r>
    </w:p>
    <w:p>
      <w:pPr>
        <w:spacing w:before="0" w:after="80"/>
      </w:pPr>
      <w:r>
        <w:t xml:space="preserve"/>
      </w:r>
    </w:p>
    <w:p>
      <w:pPr>
        <w:pStyle w:val="ListParagraph"/>
        <w:numPr>
          <w:ilvl w:val="0"/>
          <w:numId w:val="2"/>
        </w:numPr>
        <w:spacing w:before="40" w:after="40"/>
      </w:pPr>
      <w:r>
        <w:rPr>
          <w:rFonts w:ascii="Arial" w:cs="Arial" w:eastAsia="Arial" w:hAnsi="Arial"/>
          <w:b/>
          <w:bCs/>
          <w:color w:val="1E293B"/>
          <w:sz w:val="22"/>
          <w:szCs w:val="22"/>
        </w:rPr>
        <w:t xml:space="preserve">Anomaly card: </w:t>
      </w:r>
      <w:r>
        <w:rPr>
          <w:rFonts w:ascii="Arial" w:cs="Arial" w:eastAsia="Arial" w:hAnsi="Arial"/>
          <w:color w:val="334155"/>
          <w:sz w:val="22"/>
          <w:szCs w:val="22"/>
        </w:rPr>
        <w:t xml:space="preserve">shows document name, field name, anomaly type, severity, detected date, and the statistical detail (e.g. 'Value $1.4M is 4.8σ above the invoice mean of $32,400').</w:t>
      </w:r>
    </w:p>
    <w:p>
      <w:pPr>
        <w:pStyle w:val="ListParagraph"/>
        <w:numPr>
          <w:ilvl w:val="0"/>
          <w:numId w:val="2"/>
        </w:numPr>
        <w:spacing w:before="40" w:after="40"/>
      </w:pPr>
      <w:r>
        <w:rPr>
          <w:rFonts w:ascii="Arial" w:cs="Arial" w:eastAsia="Arial" w:hAnsi="Arial"/>
          <w:b/>
          <w:bCs/>
          <w:color w:val="1E293B"/>
          <w:sz w:val="22"/>
          <w:szCs w:val="22"/>
        </w:rPr>
        <w:t xml:space="preserve">Quick actions: </w:t>
      </w:r>
      <w:r>
        <w:rPr>
          <w:rFonts w:ascii="Arial" w:cs="Arial" w:eastAsia="Arial" w:hAnsi="Arial"/>
          <w:color w:val="334155"/>
          <w:sz w:val="22"/>
          <w:szCs w:val="22"/>
        </w:rPr>
        <w:t xml:space="preserve">each card has Acknowledge and View Document buttons inline. Acknowledge writes to dm_analytics.anomalies.acknowledged and removes the card from the default view.</w:t>
      </w:r>
    </w:p>
    <w:p>
      <w:pPr>
        <w:pStyle w:val="ListParagraph"/>
        <w:numPr>
          <w:ilvl w:val="0"/>
          <w:numId w:val="2"/>
        </w:numPr>
        <w:spacing w:before="40" w:after="40"/>
      </w:pPr>
      <w:r>
        <w:rPr>
          <w:rFonts w:ascii="Arial" w:cs="Arial" w:eastAsia="Arial" w:hAnsi="Arial"/>
          <w:b/>
          <w:bCs/>
          <w:color w:val="1E293B"/>
          <w:sz w:val="22"/>
          <w:szCs w:val="22"/>
        </w:rPr>
        <w:t xml:space="preserve">Filter bar: </w:t>
      </w:r>
      <w:r>
        <w:rPr>
          <w:rFonts w:ascii="Arial" w:cs="Arial" w:eastAsia="Arial" w:hAnsi="Arial"/>
          <w:color w:val="334155"/>
          <w:sz w:val="22"/>
          <w:szCs w:val="22"/>
        </w:rPr>
        <w:t xml:space="preserve">filter by severity, document type, date range, and acknowledged status.</w:t>
      </w:r>
    </w:p>
    <w:p>
      <w:pPr>
        <w:pStyle w:val="ListParagraph"/>
        <w:numPr>
          <w:ilvl w:val="0"/>
          <w:numId w:val="2"/>
        </w:numPr>
        <w:spacing w:before="40" w:after="40"/>
      </w:pPr>
      <w:r>
        <w:rPr>
          <w:rFonts w:ascii="Arial" w:cs="Arial" w:eastAsia="Arial" w:hAnsi="Arial"/>
          <w:b/>
          <w:bCs/>
          <w:color w:val="1E293B"/>
          <w:sz w:val="22"/>
          <w:szCs w:val="22"/>
        </w:rPr>
        <w:t xml:space="preserve">Bulk acknowledge: </w:t>
      </w:r>
      <w:r>
        <w:rPr>
          <w:rFonts w:ascii="Arial" w:cs="Arial" w:eastAsia="Arial" w:hAnsi="Arial"/>
          <w:color w:val="334155"/>
          <w:sz w:val="22"/>
          <w:szCs w:val="22"/>
        </w:rPr>
        <w:t xml:space="preserve">checkbox selection + bulk acknowledge for clearing low-severity info anomalies efficiently.</w:t>
      </w:r>
    </w:p>
    <w:p>
      <w:pPr>
        <w:spacing w:before="0" w:after="120"/>
      </w:pPr>
      <w:r>
        <w:t xml:space="preserve"/>
      </w:r>
    </w:p>
    <w:p>
      <w:pPr>
        <w:pStyle w:val="Heading2"/>
        <w:spacing w:before="360" w:after="120"/>
      </w:pPr>
      <w:r>
        <w:rPr>
          <w:rFonts w:ascii="Arial" w:cs="Arial" w:eastAsia="Arial" w:hAnsi="Arial"/>
          <w:b/>
          <w:bCs/>
          <w:color w:val="0E7490"/>
          <w:sz w:val="30"/>
          <w:szCs w:val="30"/>
        </w:rPr>
        <w:t xml:space="preserve">7.6 Query Tab</w:t>
      </w:r>
    </w:p>
    <w:p>
      <w:pPr>
        <w:spacing w:before="60" w:after="100"/>
      </w:pPr>
      <w:r>
        <w:rPr>
          <w:rFonts w:ascii="Arial" w:cs="Arial" w:eastAsia="Arial" w:hAnsi="Arial"/>
          <w:color w:val="334155"/>
          <w:sz w:val="22"/>
          <w:szCs w:val="22"/>
        </w:rPr>
        <w:t xml:space="preserve">The Query tab is the natural language interface. It is intentionally designed to feel conversational — not like a database tool. The design uses a clean input area with example query suggestions underneath it to help operators who are unfamiliar with what questions are answerable.</w:t>
      </w:r>
    </w:p>
    <w:p>
      <w:pPr>
        <w:spacing w:before="0" w:after="80"/>
      </w:pPr>
      <w:r>
        <w:t xml:space="preserve"/>
      </w:r>
    </w:p>
    <w:p>
      <w:pPr>
        <w:pStyle w:val="ListParagraph"/>
        <w:numPr>
          <w:ilvl w:val="0"/>
          <w:numId w:val="2"/>
        </w:numPr>
        <w:spacing w:before="40" w:after="40"/>
      </w:pPr>
      <w:r>
        <w:rPr>
          <w:rFonts w:ascii="Arial" w:cs="Arial" w:eastAsia="Arial" w:hAnsi="Arial"/>
          <w:b/>
          <w:bCs/>
          <w:color w:val="1E293B"/>
          <w:sz w:val="22"/>
          <w:szCs w:val="22"/>
        </w:rPr>
        <w:t xml:space="preserve">Query input: </w:t>
      </w:r>
      <w:r>
        <w:rPr>
          <w:rFonts w:ascii="Arial" w:cs="Arial" w:eastAsia="Arial" w:hAnsi="Arial"/>
          <w:color w:val="334155"/>
          <w:sz w:val="22"/>
          <w:szCs w:val="22"/>
        </w:rPr>
        <w:t xml:space="preserve">a large text input labelled 'Ask a question about your documents...' with a Run button. Submits to POST /dm/insights/query.</w:t>
      </w:r>
    </w:p>
    <w:p>
      <w:pPr>
        <w:pStyle w:val="ListParagraph"/>
        <w:numPr>
          <w:ilvl w:val="0"/>
          <w:numId w:val="2"/>
        </w:numPr>
        <w:spacing w:before="40" w:after="40"/>
      </w:pPr>
      <w:r>
        <w:rPr>
          <w:rFonts w:ascii="Arial" w:cs="Arial" w:eastAsia="Arial" w:hAnsi="Arial"/>
          <w:b/>
          <w:bCs/>
          <w:color w:val="1E293B"/>
          <w:sz w:val="22"/>
          <w:szCs w:val="22"/>
        </w:rPr>
        <w:t xml:space="preserve">Suggested queries: </w:t>
      </w:r>
      <w:r>
        <w:rPr>
          <w:rFonts w:ascii="Arial" w:cs="Arial" w:eastAsia="Arial" w:hAnsi="Arial"/>
          <w:color w:val="334155"/>
          <w:sz w:val="22"/>
          <w:szCs w:val="22"/>
        </w:rPr>
        <w:t xml:space="preserve">a row of pill-shaped suggested questions, generated by /dm/insights/query/suggestions. Updated daily based on current vault content and recent anomalies.</w:t>
      </w:r>
    </w:p>
    <w:p>
      <w:pPr>
        <w:pStyle w:val="ListParagraph"/>
        <w:numPr>
          <w:ilvl w:val="0"/>
          <w:numId w:val="2"/>
        </w:numPr>
        <w:spacing w:before="40" w:after="40"/>
      </w:pPr>
      <w:r>
        <w:rPr>
          <w:rFonts w:ascii="Arial" w:cs="Arial" w:eastAsia="Arial" w:hAnsi="Arial"/>
          <w:b/>
          <w:bCs/>
          <w:color w:val="1E293B"/>
          <w:sz w:val="22"/>
          <w:szCs w:val="22"/>
        </w:rPr>
        <w:t xml:space="preserve">Results area: </w:t>
      </w:r>
      <w:r>
        <w:rPr>
          <w:rFonts w:ascii="Arial" w:cs="Arial" w:eastAsia="Arial" w:hAnsi="Arial"/>
          <w:color w:val="334155"/>
          <w:sz w:val="22"/>
          <w:szCs w:val="22"/>
        </w:rPr>
        <w:t xml:space="preserve">shows the plain-language answer in a highlighted response box, followed by the supporting data table (the raw SQL result), followed by a list of up to 5 supporting documents with click-to-open links.</w:t>
      </w:r>
    </w:p>
    <w:p>
      <w:pPr>
        <w:pStyle w:val="ListParagraph"/>
        <w:numPr>
          <w:ilvl w:val="0"/>
          <w:numId w:val="2"/>
        </w:numPr>
        <w:spacing w:before="40" w:after="40"/>
      </w:pPr>
      <w:r>
        <w:rPr>
          <w:rFonts w:ascii="Arial" w:cs="Arial" w:eastAsia="Arial" w:hAnsi="Arial"/>
          <w:b/>
          <w:bCs/>
          <w:color w:val="1E293B"/>
          <w:sz w:val="22"/>
          <w:szCs w:val="22"/>
        </w:rPr>
        <w:t xml:space="preserve">Export: </w:t>
      </w:r>
      <w:r>
        <w:rPr>
          <w:rFonts w:ascii="Arial" w:cs="Arial" w:eastAsia="Arial" w:hAnsi="Arial"/>
          <w:color w:val="334155"/>
          <w:sz w:val="22"/>
          <w:szCs w:val="22"/>
        </w:rPr>
        <w:t xml:space="preserve">Export as PDF or CSV button appears after a successful query result.</w:t>
      </w:r>
    </w:p>
    <w:p>
      <w:pPr>
        <w:pStyle w:val="ListParagraph"/>
        <w:numPr>
          <w:ilvl w:val="0"/>
          <w:numId w:val="2"/>
        </w:numPr>
        <w:spacing w:before="40" w:after="40"/>
      </w:pPr>
      <w:r>
        <w:rPr>
          <w:rFonts w:ascii="Arial" w:cs="Arial" w:eastAsia="Arial" w:hAnsi="Arial"/>
          <w:b/>
          <w:bCs/>
          <w:color w:val="1E293B"/>
          <w:sz w:val="22"/>
          <w:szCs w:val="22"/>
        </w:rPr>
        <w:t xml:space="preserve">Query history: </w:t>
      </w:r>
      <w:r>
        <w:rPr>
          <w:rFonts w:ascii="Arial" w:cs="Arial" w:eastAsia="Arial" w:hAnsi="Arial"/>
          <w:color w:val="334155"/>
          <w:sz w:val="22"/>
          <w:szCs w:val="22"/>
        </w:rPr>
        <w:t xml:space="preserve">collapsible panel at the bottom showing the operator's last 20 queries with their answers.</w:t>
      </w:r>
    </w:p>
    <w:p>
      <w:pPr>
        <w:spacing w:before="0" w:after="120"/>
      </w:pPr>
      <w:r>
        <w:t xml:space="preserve"/>
      </w:r>
    </w:p>
    <w:p>
      <w:pPr>
        <w:pStyle w:val="Heading2"/>
        <w:spacing w:before="360" w:after="120"/>
      </w:pPr>
      <w:r>
        <w:rPr>
          <w:rFonts w:ascii="Arial" w:cs="Arial" w:eastAsia="Arial" w:hAnsi="Arial"/>
          <w:b/>
          <w:bCs/>
          <w:color w:val="0E7490"/>
          <w:sz w:val="30"/>
          <w:szCs w:val="30"/>
        </w:rPr>
        <w:t xml:space="preserve">7.7 Reports Tab</w:t>
      </w:r>
    </w:p>
    <w:p>
      <w:pPr>
        <w:spacing w:before="60" w:after="100"/>
      </w:pPr>
      <w:r>
        <w:rPr>
          <w:rFonts w:ascii="Arial" w:cs="Arial" w:eastAsia="Arial" w:hAnsi="Arial"/>
          <w:color w:val="334155"/>
          <w:sz w:val="22"/>
          <w:szCs w:val="22"/>
        </w:rPr>
        <w:t xml:space="preserve">The Reports tab is the control centre for the Report Generator. It has two panels: Scheduled Reports and On-Demand Reports.</w:t>
      </w:r>
    </w:p>
    <w:p>
      <w:pPr>
        <w:spacing w:before="0" w:after="80"/>
      </w:pPr>
      <w:r>
        <w:t xml:space="preserve"/>
      </w:r>
    </w:p>
    <w:p>
      <w:pPr>
        <w:pStyle w:val="ListParagraph"/>
        <w:numPr>
          <w:ilvl w:val="0"/>
          <w:numId w:val="2"/>
        </w:numPr>
        <w:spacing w:before="40" w:after="40"/>
      </w:pPr>
      <w:r>
        <w:rPr>
          <w:rFonts w:ascii="Arial" w:cs="Arial" w:eastAsia="Arial" w:hAnsi="Arial"/>
          <w:b/>
          <w:bCs/>
          <w:color w:val="1E293B"/>
          <w:sz w:val="22"/>
          <w:szCs w:val="22"/>
        </w:rPr>
        <w:t xml:space="preserve">Scheduled reports panel: </w:t>
      </w:r>
      <w:r>
        <w:rPr>
          <w:rFonts w:ascii="Arial" w:cs="Arial" w:eastAsia="Arial" w:hAnsi="Arial"/>
          <w:color w:val="334155"/>
          <w:sz w:val="22"/>
          <w:szCs w:val="22"/>
        </w:rPr>
        <w:t xml:space="preserve">shows all active scheduled report jobs with the next run time, last run status, and output format. Admins can toggle schedules on/off and edit delivery settings (email, webhook).</w:t>
      </w:r>
    </w:p>
    <w:p>
      <w:pPr>
        <w:pStyle w:val="ListParagraph"/>
        <w:numPr>
          <w:ilvl w:val="0"/>
          <w:numId w:val="2"/>
        </w:numPr>
        <w:spacing w:before="40" w:after="40"/>
      </w:pPr>
      <w:r>
        <w:rPr>
          <w:rFonts w:ascii="Arial" w:cs="Arial" w:eastAsia="Arial" w:hAnsi="Arial"/>
          <w:b/>
          <w:bCs/>
          <w:color w:val="1E293B"/>
          <w:sz w:val="22"/>
          <w:szCs w:val="22"/>
        </w:rPr>
        <w:t xml:space="preserve">On-demand reports panel: </w:t>
      </w:r>
      <w:r>
        <w:rPr>
          <w:rFonts w:ascii="Arial" w:cs="Arial" w:eastAsia="Arial" w:hAnsi="Arial"/>
          <w:color w:val="334155"/>
          <w:sz w:val="22"/>
          <w:szCs w:val="22"/>
        </w:rPr>
        <w:t xml:space="preserve">shows all available report templates. Operators click Run Report on any template to trigger an immediate run. The run status updates in real time (queued → running → complete). When complete, a Download button appears.</w:t>
      </w:r>
    </w:p>
    <w:p>
      <w:pPr>
        <w:pStyle w:val="ListParagraph"/>
        <w:numPr>
          <w:ilvl w:val="0"/>
          <w:numId w:val="2"/>
        </w:numPr>
        <w:spacing w:before="40" w:after="40"/>
      </w:pPr>
      <w:r>
        <w:rPr>
          <w:rFonts w:ascii="Arial" w:cs="Arial" w:eastAsia="Arial" w:hAnsi="Arial"/>
          <w:b/>
          <w:bCs/>
          <w:color w:val="1E293B"/>
          <w:sz w:val="22"/>
          <w:szCs w:val="22"/>
        </w:rPr>
        <w:t xml:space="preserve">Report history: </w:t>
      </w:r>
      <w:r>
        <w:rPr>
          <w:rFonts w:ascii="Arial" w:cs="Arial" w:eastAsia="Arial" w:hAnsi="Arial"/>
          <w:color w:val="334155"/>
          <w:sz w:val="22"/>
          <w:szCs w:val="22"/>
        </w:rPr>
        <w:t xml:space="preserve">a paginated list of all completed report runs with download links. Reports are retained for 90 days by default (configurable in insights.yaml).</w:t>
      </w:r>
    </w:p>
    <w:p>
      <w:pPr>
        <w:spacing w:before="0" w:after="200"/>
      </w:pPr>
      <w:r>
        <w:t xml:space="preserve"/>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r>
              <w:rPr>
                <w:rFonts w:ascii="Arial" w:cs="Arial" w:eastAsia="Arial" w:hAnsi="Arial"/>
                <w:b/>
                <w:bCs/>
                <w:color w:val="FDE68A"/>
                <w:sz w:val="20"/>
                <w:szCs w:val="20"/>
              </w:rPr>
              <w:t xml:space="preserve">SECTION 8 — BI EXPORT &amp; EXTERNAL INTEGRATION</w:t>
            </w:r>
          </w:p>
          <w:p>
            <w:r>
              <w:rPr>
                <w:rFonts w:ascii="Arial" w:cs="Arial" w:eastAsia="Arial" w:hAnsi="Arial"/>
                <w:color w:val="94A3B8"/>
                <w:sz w:val="18"/>
                <w:szCs w:val="18"/>
              </w:rPr>
              <w:t xml:space="preserve">Power BI, Excel, Metabase, and data push connectors</w:t>
            </w:r>
          </w:p>
        </w:tc>
      </w:tr>
    </w:tbl>
    <w:p>
      <w:pPr>
        <w:spacing w:before="0" w:after="80"/>
      </w:pPr>
      <w:r>
        <w:t xml:space="preserve"/>
      </w:r>
    </w:p>
    <w:p>
      <w:pPr>
        <w:pStyle w:val="Heading1"/>
        <w:pBdr>
          <w:bottom w:val="single" w:color="0E7490" w:sz="8" w:space="2"/>
        </w:pBdr>
        <w:spacing w:before="480" w:after="160"/>
      </w:pPr>
      <w:r>
        <w:rPr>
          <w:rFonts w:ascii="Arial" w:cs="Arial" w:eastAsia="Arial" w:hAnsi="Arial"/>
          <w:b/>
          <w:bCs/>
          <w:color w:val="1E293B"/>
          <w:sz w:val="40"/>
          <w:szCs w:val="40"/>
        </w:rPr>
        <w:t xml:space="preserve">BI Export &amp; External Integration</w:t>
      </w:r>
    </w:p>
    <w:p>
      <w:pPr>
        <w:spacing w:before="60" w:after="100"/>
      </w:pPr>
      <w:r>
        <w:rPr>
          <w:rFonts w:ascii="Arial" w:cs="Arial" w:eastAsia="Arial" w:hAnsi="Arial"/>
          <w:color w:val="334155"/>
          <w:sz w:val="22"/>
          <w:szCs w:val="22"/>
        </w:rPr>
        <w:t xml:space="preserve">For institutional customers who have existing reporting infrastructure (government ministries using Power BI, hospitals using Excel-based dashboards, NGOs using Metabase), DocMaster needs to export its analytics data in a form those tools can consume directly. Phase 5 adds three export pathways.</w:t>
      </w:r>
    </w:p>
    <w:p>
      <w:pPr>
        <w:spacing w:before="0" w:after="80"/>
      </w:pPr>
      <w:r>
        <w:t xml:space="preserve"/>
      </w:r>
    </w:p>
    <w:p>
      <w:pPr>
        <w:pStyle w:val="Heading2"/>
        <w:spacing w:before="360" w:after="120"/>
      </w:pPr>
      <w:r>
        <w:rPr>
          <w:rFonts w:ascii="Arial" w:cs="Arial" w:eastAsia="Arial" w:hAnsi="Arial"/>
          <w:b/>
          <w:bCs/>
          <w:color w:val="0E7490"/>
          <w:sz w:val="30"/>
          <w:szCs w:val="30"/>
        </w:rPr>
        <w:t xml:space="preserve">8.1 XLSX Multi-Sheet Export</w:t>
      </w:r>
    </w:p>
    <w:p>
      <w:pPr>
        <w:spacing w:before="60" w:after="100"/>
      </w:pPr>
      <w:r>
        <w:rPr>
          <w:rFonts w:ascii="Arial" w:cs="Arial" w:eastAsia="Arial" w:hAnsi="Arial"/>
          <w:color w:val="334155"/>
          <w:sz w:val="22"/>
          <w:szCs w:val="22"/>
        </w:rPr>
        <w:t xml:space="preserve">When a report is generated in XLSX format, the output is a structured multi-sheet workbook rather than a flat CSV. Each sheet serves a specific purpose, making it immediately useful in Excel or Power BI without any transformation.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Sheet Name</w:t>
            </w:r>
          </w:p>
        </w:tc>
        <w:tc>
          <w:tcPr>
            <w:tcW w:type="dxa" w:w="4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Contents</w:t>
            </w:r>
          </w:p>
        </w:tc>
        <w:tc>
          <w:tcPr>
            <w:tcW w:type="dxa" w:w="33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Suitable For</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Summary</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High-level KPIs: totals, averages, trend directions</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Management dashboards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Volume_Daily</w:t>
            </w:r>
          </w:p>
        </w:tc>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Daily document count and confidence by type for the report period</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Trend analysis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Entities</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Top 500 entities by mention count with type and date range</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Entity analysis pivot tables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Anomalies</w:t>
            </w:r>
          </w:p>
        </w:tc>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All anomalies in the report period with full statistical context</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Audit and risk review</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Documents_Raw</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All processed documents for the period: ID, type, confidence, extracted fields</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Bulk data analysis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Field_Stats</w:t>
            </w:r>
          </w:p>
        </w:tc>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Per-field extraction statistics by document type</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Data quality monitoring</w:t>
            </w:r>
          </w:p>
        </w:tc>
      </w:tr>
    </w:tbl>
    <w:p>
      <w:pPr>
        <w:spacing w:before="0" w:after="120"/>
      </w:pPr>
      <w:r>
        <w:t xml:space="preserve"/>
      </w:r>
    </w:p>
    <w:p>
      <w:pPr>
        <w:pStyle w:val="Heading2"/>
        <w:spacing w:before="360" w:after="120"/>
      </w:pPr>
      <w:r>
        <w:rPr>
          <w:rFonts w:ascii="Arial" w:cs="Arial" w:eastAsia="Arial" w:hAnsi="Arial"/>
          <w:b/>
          <w:bCs/>
          <w:color w:val="0E7490"/>
          <w:sz w:val="30"/>
          <w:szCs w:val="30"/>
        </w:rPr>
        <w:t xml:space="preserve">8.2 Power BI / Metabase Direct Connection</w:t>
      </w:r>
    </w:p>
    <w:p>
      <w:pPr>
        <w:spacing w:before="60" w:after="100"/>
      </w:pPr>
      <w:r>
        <w:rPr>
          <w:rFonts w:ascii="Arial" w:cs="Arial" w:eastAsia="Arial" w:hAnsi="Arial"/>
          <w:color w:val="334155"/>
          <w:sz w:val="22"/>
          <w:szCs w:val="22"/>
        </w:rPr>
        <w:t xml:space="preserve">For customers with network access between their BI tool and the DocMaster appliance, a read-only PostgreSQL connection can be exposed on port 5433 (separate from the internal 5432). This port is bound to a dedicated dm_readonly role that has SELECT privileges only on the dm_analytics and dm_graph schemas — never on dm_core (which contains raw extracted data and operator credentials).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80"/>
              <w:left w:type="dxa" w:w="180"/>
              <w:bottom w:type="dxa" w:w="0"/>
              <w:right w:type="dxa" w:w="180"/>
            </w:tcMar>
          </w:tcP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Read-only role created during Phase 5 installation</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CREATE ROLE dm_readonly WITH LOGIN PASSWORD '&lt;generated_on_install&gt;';</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GRANT CONNECT ON DATABASE dm_vault TO dm_readonly;</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GRANT USAGE ON SCHEMA dm_analytics, dm_graph, dm_reports TO dm_readonly;</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GRANT SELECT ON ALL TABLES IN SCHEMA dm_analytics TO dm_readonly;</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GRANT SELECT ON ALL TABLES IN SCHEMA dm_graph TO dm_readonly;</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GRANT SELECT ON dm_reports.report_templates, dm_reports.report_runs TO dm_readonly;</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Explicitly deny access to core data schemas</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REVOKE ALL ON SCHEMA dm_core, dm_flux, dm_sentinel FROM dm_readonly;</w:t>
            </w:r>
          </w:p>
        </w:tc>
      </w:tr>
      <w:tr>
        <w:tc>
          <w:tcPr>
            <w:tcBorders>
              <w:top w:val="none" w:color="FFFFFF" w:sz="0"/>
              <w:left w:val="none" w:color="FFFFFF" w:sz="0"/>
              <w:bottom w:val="none" w:color="FFFFFF" w:sz="0"/>
              <w:right w:val="none" w:color="FFFFFF" w:sz="0"/>
            </w:tcBorders>
            <w:shd w:fill="0F172A" w:val="clear"/>
            <w:tcMar>
              <w:top w:type="dxa" w:w="0"/>
              <w:left w:type="dxa" w:w="180"/>
              <w:bottom w:type="dxa" w:w="80"/>
              <w:right w:type="dxa" w:w="180"/>
            </w:tcMar>
          </w:tcP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Borders>
              <w:top w:val="none" w:color="FFFFFF" w:sz="0"/>
              <w:left w:val="none" w:color="FFFFFF" w:sz="0"/>
              <w:bottom w:val="none" w:color="FFFFFF" w:sz="0"/>
              <w:right w:val="none" w:color="FFFFFF" w:sz="0"/>
            </w:tcBorders>
            <w:shd w:fill="F0F9FF" w:val="clear"/>
            <w:tcMar>
              <w:top w:type="dxa" w:w="120"/>
              <w:left w:type="dxa" w:w="120"/>
              <w:bottom w:type="dxa" w:w="120"/>
              <w:right w:type="dxa" w:w="0"/>
            </w:tcMar>
          </w:tcPr>
          <w:p>
            <w:pPr>
              <w:jc w:val="center"/>
            </w:pPr>
            <w:r>
              <w:rPr>
                <w:rFonts w:ascii="Arial" w:cs="Arial" w:eastAsia="Arial" w:hAnsi="Arial"/>
                <w:sz w:val="24"/>
                <w:szCs w:val="24"/>
              </w:rPr>
              <w:t xml:space="preserve">ℹ</w:t>
            </w:r>
          </w:p>
        </w:tc>
        <w:tc>
          <w:tcPr>
            <w:tcBorders>
              <w:top w:val="none" w:color="FFFFFF" w:sz="0"/>
              <w:left w:val="none" w:color="FFFFFF" w:sz="0"/>
              <w:bottom w:val="none" w:color="FFFFFF" w:sz="0"/>
              <w:right w:val="none" w:color="FFFFFF" w:sz="0"/>
            </w:tcBorders>
            <w:shd w:fill="F0F9FF" w:val="clear"/>
            <w:tcMar>
              <w:top w:type="dxa" w:w="120"/>
              <w:left w:type="dxa" w:w="120"/>
              <w:bottom w:type="dxa" w:w="120"/>
              <w:right w:type="dxa" w:w="180"/>
            </w:tcMar>
          </w:tcPr>
          <w:p>
            <w:r>
              <w:rPr>
                <w:rFonts w:ascii="Arial" w:cs="Arial" w:eastAsia="Arial" w:hAnsi="Arial"/>
                <w:i/>
                <w:iCs/>
                <w:color w:val="1E293B"/>
                <w:sz w:val="20"/>
                <w:szCs w:val="20"/>
              </w:rPr>
              <w:t xml:space="preserve">Power BI Connection String: postgresql://dm_readonly:&lt;password&gt;@&lt;appliance-ip&gt;:5433/dm_vault — This port is only opened in UFW when explicitly enabled in Settings → Integrations → BI Direct Connect. It is closed by default.</w:t>
            </w:r>
          </w:p>
        </w:tc>
      </w:tr>
    </w:tbl>
    <w:p>
      <w:pPr>
        <w:spacing w:before="0" w:after="120"/>
      </w:pPr>
      <w:r>
        <w:t xml:space="preserve"/>
      </w:r>
    </w:p>
    <w:p>
      <w:pPr>
        <w:pStyle w:val="Heading2"/>
        <w:spacing w:before="360" w:after="120"/>
      </w:pPr>
      <w:r>
        <w:rPr>
          <w:rFonts w:ascii="Arial" w:cs="Arial" w:eastAsia="Arial" w:hAnsi="Arial"/>
          <w:b/>
          <w:bCs/>
          <w:color w:val="0E7490"/>
          <w:sz w:val="30"/>
          <w:szCs w:val="30"/>
        </w:rPr>
        <w:t xml:space="preserve">8.3 Scheduled Data Push via dm-bridge</w:t>
      </w:r>
    </w:p>
    <w:p>
      <w:pPr>
        <w:spacing w:before="60" w:after="100"/>
      </w:pPr>
      <w:r>
        <w:rPr>
          <w:rFonts w:ascii="Arial" w:cs="Arial" w:eastAsia="Arial" w:hAnsi="Arial"/>
          <w:color w:val="334155"/>
          <w:sz w:val="22"/>
          <w:szCs w:val="22"/>
        </w:rPr>
        <w:t xml:space="preserve">For customers who cannot open a direct database connection (air-gapped environments where the BI tool is on a separate network segment), DocMaster can push a data bundle to an external endpoint on a schedule. The data bundle is a signed JSON or XLSX package containing the same content as the standard reports, delivered via the outbound webhook connector already established in Phase 4.</w:t>
      </w:r>
    </w:p>
    <w:p>
      <w:pPr>
        <w:spacing w:before="0" w:after="80"/>
      </w:pPr>
      <w:r>
        <w:t xml:space="preserve"/>
      </w:r>
    </w:p>
    <w:p>
      <w:pPr>
        <w:pStyle w:val="ListParagraph"/>
        <w:numPr>
          <w:ilvl w:val="0"/>
          <w:numId w:val="2"/>
        </w:numPr>
        <w:spacing w:before="40" w:after="40"/>
      </w:pPr>
      <w:r>
        <w:rPr>
          <w:rFonts w:ascii="Arial" w:cs="Arial" w:eastAsia="Arial" w:hAnsi="Arial"/>
          <w:b/>
          <w:bCs/>
          <w:color w:val="1E293B"/>
          <w:sz w:val="22"/>
          <w:szCs w:val="22"/>
        </w:rPr>
        <w:t xml:space="preserve">Push format: </w:t>
      </w:r>
      <w:r>
        <w:rPr>
          <w:rFonts w:ascii="Arial" w:cs="Arial" w:eastAsia="Arial" w:hAnsi="Arial"/>
          <w:color w:val="334155"/>
          <w:sz w:val="22"/>
          <w:szCs w:val="22"/>
        </w:rPr>
        <w:t xml:space="preserve">JSON (for API-consuming systems) or XLSX (for file-drop BI workflows).</w:t>
      </w:r>
    </w:p>
    <w:p>
      <w:pPr>
        <w:pStyle w:val="ListParagraph"/>
        <w:numPr>
          <w:ilvl w:val="0"/>
          <w:numId w:val="2"/>
        </w:numPr>
        <w:spacing w:before="40" w:after="40"/>
      </w:pPr>
      <w:r>
        <w:rPr>
          <w:rFonts w:ascii="Arial" w:cs="Arial" w:eastAsia="Arial" w:hAnsi="Arial"/>
          <w:b/>
          <w:bCs/>
          <w:color w:val="1E293B"/>
          <w:sz w:val="22"/>
          <w:szCs w:val="22"/>
        </w:rPr>
        <w:t xml:space="preserve">Schedule: </w:t>
      </w:r>
      <w:r>
        <w:rPr>
          <w:rFonts w:ascii="Arial" w:cs="Arial" w:eastAsia="Arial" w:hAnsi="Arial"/>
          <w:color w:val="334155"/>
          <w:sz w:val="22"/>
          <w:szCs w:val="22"/>
        </w:rPr>
        <w:t xml:space="preserve">configured in insights.yaml as a cron expression. Default: daily at 06:00.</w:t>
      </w:r>
    </w:p>
    <w:p>
      <w:pPr>
        <w:pStyle w:val="ListParagraph"/>
        <w:numPr>
          <w:ilvl w:val="0"/>
          <w:numId w:val="2"/>
        </w:numPr>
        <w:spacing w:before="40" w:after="40"/>
      </w:pPr>
      <w:r>
        <w:rPr>
          <w:rFonts w:ascii="Arial" w:cs="Arial" w:eastAsia="Arial" w:hAnsi="Arial"/>
          <w:b/>
          <w:bCs/>
          <w:color w:val="1E293B"/>
          <w:sz w:val="22"/>
          <w:szCs w:val="22"/>
        </w:rPr>
        <w:t xml:space="preserve">Signing: </w:t>
      </w:r>
      <w:r>
        <w:rPr>
          <w:rFonts w:ascii="Arial" w:cs="Arial" w:eastAsia="Arial" w:hAnsi="Arial"/>
          <w:color w:val="334155"/>
          <w:sz w:val="22"/>
          <w:szCs w:val="22"/>
        </w:rPr>
        <w:t xml:space="preserve">each push payload is HMAC-signed using the dm-bridge webhook secret. The receiving system can verify authenticity.</w:t>
      </w:r>
    </w:p>
    <w:p>
      <w:pPr>
        <w:pStyle w:val="ListParagraph"/>
        <w:numPr>
          <w:ilvl w:val="0"/>
          <w:numId w:val="2"/>
        </w:numPr>
        <w:spacing w:before="40" w:after="40"/>
      </w:pPr>
      <w:r>
        <w:rPr>
          <w:rFonts w:ascii="Arial" w:cs="Arial" w:eastAsia="Arial" w:hAnsi="Arial"/>
          <w:b/>
          <w:bCs/>
          <w:color w:val="1E293B"/>
          <w:sz w:val="22"/>
          <w:szCs w:val="22"/>
        </w:rPr>
        <w:t xml:space="preserve">Retry: </w:t>
      </w:r>
      <w:r>
        <w:rPr>
          <w:rFonts w:ascii="Arial" w:cs="Arial" w:eastAsia="Arial" w:hAnsi="Arial"/>
          <w:color w:val="334155"/>
          <w:sz w:val="22"/>
          <w:szCs w:val="22"/>
        </w:rPr>
        <w:t xml:space="preserve">failed pushes are retried up to 3 times with exponential backoff. Failure logged to /opt/docmaster/logs/insights.log and flagged in System Health.</w:t>
      </w:r>
    </w:p>
    <w:p>
      <w:pPr>
        <w:spacing w:before="0" w:after="200"/>
      </w:pPr>
      <w:r>
        <w:t xml:space="preserve"/>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r>
              <w:rPr>
                <w:rFonts w:ascii="Arial" w:cs="Arial" w:eastAsia="Arial" w:hAnsi="Arial"/>
                <w:b/>
                <w:bCs/>
                <w:color w:val="FDE68A"/>
                <w:sz w:val="20"/>
                <w:szCs w:val="20"/>
              </w:rPr>
              <w:t xml:space="preserve">SECTION 9 — SERVICE &amp; CRON ADDITIONS</w:t>
            </w:r>
          </w:p>
          <w:p>
            <w:r>
              <w:rPr>
                <w:rFonts w:ascii="Arial" w:cs="Arial" w:eastAsia="Arial" w:hAnsi="Arial"/>
                <w:color w:val="94A3B8"/>
                <w:sz w:val="18"/>
                <w:szCs w:val="18"/>
              </w:rPr>
              <w:t xml:space="preserve">dm-insights.service unit file and cron schedule</w:t>
            </w:r>
          </w:p>
        </w:tc>
      </w:tr>
    </w:tbl>
    <w:p>
      <w:pPr>
        <w:spacing w:before="0" w:after="80"/>
      </w:pPr>
      <w:r>
        <w:t xml:space="preserve"/>
      </w:r>
    </w:p>
    <w:p>
      <w:pPr>
        <w:pStyle w:val="Heading1"/>
        <w:pBdr>
          <w:bottom w:val="single" w:color="0E7490" w:sz="8" w:space="2"/>
        </w:pBdr>
        <w:spacing w:before="480" w:after="160"/>
      </w:pPr>
      <w:r>
        <w:rPr>
          <w:rFonts w:ascii="Arial" w:cs="Arial" w:eastAsia="Arial" w:hAnsi="Arial"/>
          <w:b/>
          <w:bCs/>
          <w:color w:val="1E293B"/>
          <w:sz w:val="40"/>
          <w:szCs w:val="40"/>
        </w:rPr>
        <w:t xml:space="preserve">Service &amp; Cron Additions</w:t>
      </w:r>
    </w:p>
    <w:p>
      <w:pPr>
        <w:pStyle w:val="Heading2"/>
        <w:spacing w:before="360" w:after="120"/>
      </w:pPr>
      <w:r>
        <w:rPr>
          <w:rFonts w:ascii="Arial" w:cs="Arial" w:eastAsia="Arial" w:hAnsi="Arial"/>
          <w:b/>
          <w:bCs/>
          <w:color w:val="0E7490"/>
          <w:sz w:val="30"/>
          <w:szCs w:val="30"/>
        </w:rPr>
        <w:t xml:space="preserve">9.1 dm-insights.service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80"/>
              <w:left w:type="dxa" w:w="180"/>
              <w:bottom w:type="dxa" w:w="0"/>
              <w:right w:type="dxa" w:w="180"/>
            </w:tcMar>
          </w:tcP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[Unit]</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Description=DocMaster Insights Engine</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After=network.target postgresql.service dm-core.service dm-mind.service</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Requires=postgresql.service</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Wants=dm-core.service dm-mind.service</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Soft dependency on dm-core — if core is down, insights degrades gracefully</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[Service]</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Type=notify</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User=dmuser</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Group=dmuser</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WorkingDirectory=/opt/docmaster</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EnvironmentFile=/opt/docmaster/config/dm.env</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ExecStart=/opt/docmaster/bin/dm-insights --config /opt/docmaster/config/insights.yaml</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Restart=on-failure</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RestartSec=15s</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StartLimitBurst=3</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StartLimitIntervalSec=180s</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WatchdogSec=60s</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NotifyAccess=main</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OnFailure=dm-alert@%n.service</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MemoryMax=3G</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CPUQuota=60%</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Lower CPU quota than dm-flux — analytics yield to document processing</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NoNewPrivileges=true</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ProtectSystem=strict</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ReadWritePaths=/opt/docmaster</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PrivateTmp=true</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[Install]</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WantedBy=multi-user.target</w:t>
            </w:r>
          </w:p>
        </w:tc>
      </w:tr>
      <w:tr>
        <w:tc>
          <w:tcPr>
            <w:tcBorders>
              <w:top w:val="none" w:color="FFFFFF" w:sz="0"/>
              <w:left w:val="none" w:color="FFFFFF" w:sz="0"/>
              <w:bottom w:val="none" w:color="FFFFFF" w:sz="0"/>
              <w:right w:val="none" w:color="FFFFFF" w:sz="0"/>
            </w:tcBorders>
            <w:shd w:fill="0F172A" w:val="clear"/>
            <w:tcMar>
              <w:top w:type="dxa" w:w="0"/>
              <w:left w:type="dxa" w:w="180"/>
              <w:bottom w:type="dxa" w:w="80"/>
              <w:right w:type="dxa" w:w="180"/>
            </w:tcMar>
          </w:tcPr>
          <w:p/>
        </w:tc>
      </w:tr>
    </w:tbl>
    <w:p>
      <w:pPr>
        <w:spacing w:before="0" w:after="120"/>
      </w:pPr>
      <w:r>
        <w:t xml:space="preserve"/>
      </w:r>
    </w:p>
    <w:p>
      <w:pPr>
        <w:pStyle w:val="Heading2"/>
        <w:spacing w:before="360" w:after="120"/>
      </w:pPr>
      <w:r>
        <w:rPr>
          <w:rFonts w:ascii="Arial" w:cs="Arial" w:eastAsia="Arial" w:hAnsi="Arial"/>
          <w:b/>
          <w:bCs/>
          <w:color w:val="0E7490"/>
          <w:sz w:val="30"/>
          <w:szCs w:val="30"/>
        </w:rPr>
        <w:t xml:space="preserve">9.2 Cron Additions — /etc/cron.d/docmaster (Phase 5 appended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80"/>
              <w:left w:type="dxa" w:w="180"/>
              <w:bottom w:type="dxa" w:w="0"/>
              <w:right w:type="dxa" w:w="180"/>
            </w:tcMar>
          </w:tcP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 INSIGHTS ENGINE ────────────────────────────────────────────</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Rebuild insight_cache every 30 minutes (pre-warms query responses for UI)</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*/30 * * * * dmuser /opt/docmaster/bin/dm-insights cache-refresh &gt;&gt; /opt/docmaster/logs/insights.log 2&gt;&amp;1</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Recompute field_stats daily at 01:30 (after nightly DB maintenance)</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30 1 * * * dmuser /opt/docmaster/bin/dm-insights recompute-field-stats &gt;&gt; /opt/docmaster/logs/insights.log 2&gt;&amp;1</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Regenerate NL query suggestions daily at 06:00</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0 6 * * * dmuser /opt/docmaster/bin/dm-insights refresh-suggestions &gt;&gt; /opt/docmaster/logs/insights.log 2&gt;&amp;1</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Clean up expired report files older than 90 days from /opt/docmaster/reports/</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0 5 * * 0 dmuser /opt/docmaster/bin/dm-insights clean-reports &gt;&gt; /opt/docmaster/logs/insights.log 2&gt;&amp;1</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Clean up expired insight_cache rows daily at 03:30</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30 3 * * * dmuser /opt/docmaster/bin/dm-insights clean-cache &gt;&gt; /opt/docmaster/logs/insights.log 2&gt;&amp;1</w:t>
            </w:r>
          </w:p>
        </w:tc>
      </w:tr>
      <w:tr>
        <w:tc>
          <w:tcPr>
            <w:tcBorders>
              <w:top w:val="none" w:color="FFFFFF" w:sz="0"/>
              <w:left w:val="none" w:color="FFFFFF" w:sz="0"/>
              <w:bottom w:val="none" w:color="FFFFFF" w:sz="0"/>
              <w:right w:val="none" w:color="FFFFFF" w:sz="0"/>
            </w:tcBorders>
            <w:shd w:fill="0F172A" w:val="clear"/>
            <w:tcMar>
              <w:top w:type="dxa" w:w="0"/>
              <w:left w:type="dxa" w:w="180"/>
              <w:bottom w:type="dxa" w:w="80"/>
              <w:right w:type="dxa" w:w="180"/>
            </w:tcMar>
          </w:tcPr>
          <w:p/>
        </w:tc>
      </w:tr>
    </w:tbl>
    <w:p>
      <w:pPr>
        <w:spacing w:before="0" w:after="200"/>
      </w:pPr>
      <w:r>
        <w:t xml:space="preserve"/>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r>
              <w:rPr>
                <w:rFonts w:ascii="Arial" w:cs="Arial" w:eastAsia="Arial" w:hAnsi="Arial"/>
                <w:b/>
                <w:bCs/>
                <w:color w:val="FDE68A"/>
                <w:sz w:val="20"/>
                <w:szCs w:val="20"/>
              </w:rPr>
              <w:t xml:space="preserve">SECTION 10 — PHASE 5 IMPLEMENTATION CHECKLIST</w:t>
            </w:r>
          </w:p>
          <w:p>
            <w:r>
              <w:rPr>
                <w:rFonts w:ascii="Arial" w:cs="Arial" w:eastAsia="Arial" w:hAnsi="Arial"/>
                <w:color w:val="94A3B8"/>
                <w:sz w:val="18"/>
                <w:szCs w:val="18"/>
              </w:rPr>
              <w:t xml:space="preserve">Build, test, and release criteria for DocMaster v1.1</w:t>
            </w:r>
          </w:p>
        </w:tc>
      </w:tr>
    </w:tbl>
    <w:p>
      <w:pPr>
        <w:spacing w:before="0" w:after="80"/>
      </w:pPr>
      <w:r>
        <w:t xml:space="preserve"/>
      </w:r>
    </w:p>
    <w:p>
      <w:pPr>
        <w:pStyle w:val="Heading1"/>
        <w:pBdr>
          <w:bottom w:val="single" w:color="0E7490" w:sz="8" w:space="2"/>
        </w:pBdr>
        <w:spacing w:before="480" w:after="160"/>
      </w:pPr>
      <w:r>
        <w:rPr>
          <w:rFonts w:ascii="Arial" w:cs="Arial" w:eastAsia="Arial" w:hAnsi="Arial"/>
          <w:b/>
          <w:bCs/>
          <w:color w:val="1E293B"/>
          <w:sz w:val="40"/>
          <w:szCs w:val="40"/>
        </w:rPr>
        <w:t xml:space="preserve">Phase 5 Implementation Checklist</w:t>
      </w:r>
    </w:p>
    <w:p>
      <w:pPr>
        <w:pStyle w:val="Heading2"/>
        <w:spacing w:before="360" w:after="120"/>
      </w:pPr>
      <w:r>
        <w:rPr>
          <w:rFonts w:ascii="Arial" w:cs="Arial" w:eastAsia="Arial" w:hAnsi="Arial"/>
          <w:b/>
          <w:bCs/>
          <w:color w:val="0E7490"/>
          <w:sz w:val="30"/>
          <w:szCs w:val="30"/>
        </w:rPr>
        <w:t xml:space="preserve">10.1 Backend Build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800"/>
        <w:gridCol w:w="3560"/>
      </w:tblGrid>
      <w:tr>
        <w:tc>
          <w:tcPr>
            <w:tcW w:type="dxa" w:w="1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Priority</w:t>
            </w:r>
          </w:p>
        </w:tc>
        <w:tc>
          <w:tcPr>
            <w:tcW w:type="dxa" w:w="4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35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CRITICAL</w:t>
            </w:r>
          </w:p>
        </w:tc>
        <w:tc>
          <w:tcPr>
            <w:tcW w:type="dxa" w:w="4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dm_analytics, dm_graph, dm_reports schemas created and migration tested against v1.0 database</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Must be additive — no v1.0 schema modifications</w:t>
            </w:r>
          </w:p>
        </w:tc>
      </w:tr>
      <w:tr>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CRITICAL</w:t>
            </w:r>
          </w:p>
        </w:tc>
        <w:tc>
          <w:tcPr>
            <w:tcW w:type="dxa" w:w="4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dm-insights binary built and unit tested: Indexer, Trend Engine, Entity Extractor</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Core analytics pipeline must pass all functional tests</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CRITICAL</w:t>
            </w:r>
          </w:p>
        </w:tc>
        <w:tc>
          <w:tcPr>
            <w:tcW w:type="dxa" w:w="4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dm-insights binary: Anomaly Detector with all 8 anomaly types implemented</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Include minimum sample size guard (n&lt;30 = no detection)</w:t>
            </w:r>
          </w:p>
        </w:tc>
      </w:tr>
      <w:tr>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CRITICAL</w:t>
            </w:r>
          </w:p>
        </w:tc>
        <w:tc>
          <w:tcPr>
            <w:tcW w:type="dxa" w:w="4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NL Query Engine: Intent Classifier and Query Builder LLM prompts written and validated</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Test against 50 real operator questions from field research</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CRITICAL</w:t>
            </w:r>
          </w:p>
        </w:tc>
        <w:tc>
          <w:tcPr>
            <w:tcW w:type="dxa" w:w="4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SQL allowlist validator for NL Query Engine: blocks non-SELECT, blocks dm_core.operators access</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Security-critical. Pen test required before release.</w:t>
            </w:r>
          </w:p>
        </w:tc>
      </w:tr>
      <w:tr>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CRITICAL</w:t>
            </w:r>
          </w:p>
        </w:tc>
        <w:tc>
          <w:tcPr>
            <w:tcW w:type="dxa" w:w="4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Report Generator: PDF, CSV, XLSX output tested for all 7 built-in templates</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XLSX multi-sheet structure verified in Excel and LibreOffice</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HIGH</w:t>
            </w:r>
          </w:p>
        </w:tc>
        <w:tc>
          <w:tcPr>
            <w:tcW w:type="dxa" w:w="4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dm_readonly PostgreSQL role created and Power BI connection tested</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Test with Power BI Desktop against live dm_analytics data</w:t>
            </w:r>
          </w:p>
        </w:tc>
      </w:tr>
      <w:tr>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HIGH</w:t>
            </w:r>
          </w:p>
        </w:tc>
        <w:tc>
          <w:tcPr>
            <w:tcW w:type="dxa" w:w="4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dm-insights.service watchdog heartbeat implemented — sd_notify(WATCHDOG=1) in indexer loop</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Failure to heartbeat triggers service restart via systemd</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HIGH</w:t>
            </w:r>
          </w:p>
        </w:tc>
        <w:tc>
          <w:tcPr>
            <w:tcW w:type="dxa" w:w="4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insights.yaml configuration schema documented with all available knobs</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Operators must be able to tune anomaly thresholds and report schedules</w:t>
            </w:r>
          </w:p>
        </w:tc>
      </w:tr>
      <w:tr>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MEDIUM</w:t>
            </w:r>
          </w:p>
        </w:tc>
        <w:tc>
          <w:tcPr>
            <w:tcW w:type="dxa" w:w="4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Entity deduplication fuzzy match (Jaro-Winkler) tested against multi-language name variants</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Test with French, Spanish, Arabic name sets</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MEDIUM</w:t>
            </w:r>
          </w:p>
        </w:tc>
        <w:tc>
          <w:tcPr>
            <w:tcW w:type="dxa" w:w="4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D3.js entity graph visualisation built into UI and tested at 500+ node scale</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Performance test: graph render time &lt;3s for 500 nodes</w:t>
            </w:r>
          </w:p>
        </w:tc>
      </w:tr>
      <w:tr>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MEDIUM</w:t>
            </w:r>
          </w:p>
        </w:tc>
        <w:tc>
          <w:tcPr>
            <w:tcW w:type="dxa" w:w="4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ARM64 build of dm-insights binary produced and tested on Raspberry Pi 5</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Optional for v1.1 — required for v1.2</w:t>
            </w:r>
          </w:p>
        </w:tc>
      </w:tr>
    </w:tbl>
    <w:p>
      <w:pPr>
        <w:spacing w:before="0" w:after="120"/>
      </w:pPr>
      <w:r>
        <w:t xml:space="preserve"/>
      </w:r>
    </w:p>
    <w:p>
      <w:pPr>
        <w:pStyle w:val="Heading2"/>
        <w:spacing w:before="360" w:after="120"/>
      </w:pPr>
      <w:r>
        <w:rPr>
          <w:rFonts w:ascii="Arial" w:cs="Arial" w:eastAsia="Arial" w:hAnsi="Arial"/>
          <w:b/>
          <w:bCs/>
          <w:color w:val="0E7490"/>
          <w:sz w:val="30"/>
          <w:szCs w:val="30"/>
        </w:rPr>
        <w:t xml:space="preserve">10.2 QA Test Cases — Phase 5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3400"/>
        <w:gridCol w:w="3760"/>
      </w:tblGrid>
      <w:tr>
        <w:tc>
          <w:tcPr>
            <w:tcW w:type="dxa" w:w="1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Test ID</w:t>
            </w:r>
          </w:p>
        </w:tc>
        <w:tc>
          <w:tcPr>
            <w:tcW w:type="dxa" w:w="1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Area</w:t>
            </w:r>
          </w:p>
        </w:tc>
        <w:tc>
          <w:tcPr>
            <w:tcW w:type="dxa" w:w="3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Test Case</w:t>
            </w:r>
          </w:p>
        </w:tc>
        <w:tc>
          <w:tcPr>
            <w:tcW w:type="dxa" w:w="37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Expected Result</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TC-P5-001</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Indexer</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Install v1.1 on v1.0 database with 1,847 existing documents</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All existing documents indexed within 20 minutes. No duplicate index_state records.</w:t>
            </w:r>
          </w:p>
        </w:tc>
      </w:tr>
      <w:tr>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TC-P5-002</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Indexer</w:t>
            </w:r>
          </w:p>
        </w:tc>
        <w:tc>
          <w:tcPr>
            <w:tcW w:type="dxa" w:w="3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Kill dm-insights mid-indexing cycle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Service restarts within 15s. Indexing resumes from last unindexed document. No data loss.</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TC-P5-003</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Trends</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Query volume_metrics for 12 months of data</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Response in &lt;200ms. All monthly buckets present. Counts match dm_core.documents.</w:t>
            </w:r>
          </w:p>
        </w:tc>
      </w:tr>
      <w:tr>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TC-P5-004</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Entities</w:t>
            </w:r>
          </w:p>
        </w:tc>
        <w:tc>
          <w:tcPr>
            <w:tcW w:type="dxa" w:w="3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Process 100 deeds containing 'John Smith' in various forms</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Single entity record created with aliases array containing all variants. document_count=100.</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TC-P5-005</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Entities</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Entity graph query for entity with 200 relationships</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Subgraph response in &lt;500ms at depth=1. depth=2 in &lt;2s.</w:t>
            </w:r>
          </w:p>
        </w:tc>
      </w:tr>
      <w:tr>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TC-P5-006</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Anomalies</w:t>
            </w:r>
          </w:p>
        </w:tc>
        <w:tc>
          <w:tcPr>
            <w:tcW w:type="dxa" w:w="3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Process invoice with amount 6σ above mean</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Anomaly record created with type=value_outlier, severity=critical, Z-score in detail.</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TC-P5-007</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Anomalies</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Process 29 invoices then check anomaly detection</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No anomaly records created (below n=30 minimum sample threshold).</w:t>
            </w:r>
          </w:p>
        </w:tc>
      </w:tr>
      <w:tr>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TC-P5-008</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NL Query</w:t>
            </w:r>
          </w:p>
        </w:tc>
        <w:tc>
          <w:tcPr>
            <w:tcW w:type="dxa" w:w="3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Ask: 'How many deeds were processed last month?'</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Correct count returned. SQL generated is SELECT-only. Result matches dm_analytics.volume_metrics.</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TC-P5-009</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NL Query</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Attempt SQL injection via NL query input</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Query validator rejects. Returns DM_5041. No database modification executed.</w:t>
            </w:r>
          </w:p>
        </w:tc>
      </w:tr>
      <w:tr>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TC-P5-010</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Reports</w:t>
            </w:r>
          </w:p>
        </w:tc>
        <w:tc>
          <w:tcPr>
            <w:tcW w:type="dxa" w:w="3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Trigger all 7 built-in report templates on-demand</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All 7 complete within 120s. PDF renders correctly. CSV column headers match spec. XLSX opens in Excel.</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TC-P5-011</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Reports</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Schedule RPT-001 and wait for 07:00 trigger</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Report generated at 07:00 ±60s. Run record in dm_reports.report_runs.</w:t>
            </w:r>
          </w:p>
        </w:tc>
      </w:tr>
      <w:tr>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TC-P5-012</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BI Export</w:t>
            </w:r>
          </w:p>
        </w:tc>
        <w:tc>
          <w:tcPr>
            <w:tcW w:type="dxa" w:w="3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Connect Power BI to dm_readonly on port 5433</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dm_analytics and dm_graph tables visible. dm_core tables not visible. No write access.</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TC-P5-013</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Insights UI</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Load Insights Overview tab with 10,000+ indexed documents</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Page renders in &lt;1s. All 6 summary cards show correct data. No console errors.</w:t>
            </w:r>
          </w:p>
        </w:tc>
      </w:tr>
      <w:tr>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TC-P5-014</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Isolation</w:t>
            </w:r>
          </w:p>
        </w:tc>
        <w:tc>
          <w:tcPr>
            <w:tcW w:type="dxa" w:w="3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Kill dm-insights while actively processing documents</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Document ingestion, OCR, and extraction continue uninterrupted. dm-core health check still green.</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TC-P5-015</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Upgrade</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Blue/Green upgrade from v1.0 to v1.1</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Schema migrations run during staging. Symlink swap completes. All v1.0 API endpoints still functional post-upgrade.</w:t>
            </w:r>
          </w:p>
        </w:tc>
      </w:tr>
    </w:tbl>
    <w:p>
      <w:pPr>
        <w:spacing w:before="0" w:after="200"/>
      </w:pPr>
      <w:r>
        <w:t xml:space="preserve"/>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r>
              <w:rPr>
                <w:rFonts w:ascii="Arial" w:cs="Arial" w:eastAsia="Arial" w:hAnsi="Arial"/>
                <w:b/>
                <w:bCs/>
                <w:color w:val="FDE68A"/>
                <w:sz w:val="20"/>
                <w:szCs w:val="20"/>
              </w:rPr>
              <w:t xml:space="preserve">SECTION 11 — FINAL NOTES &amp; PROJECT COMPLETION</w:t>
            </w:r>
          </w:p>
          <w:p>
            <w:r>
              <w:rPr>
                <w:rFonts w:ascii="Arial" w:cs="Arial" w:eastAsia="Arial" w:hAnsi="Arial"/>
                <w:color w:val="94A3B8"/>
                <w:sz w:val="18"/>
                <w:szCs w:val="18"/>
              </w:rPr>
              <w:t xml:space="preserve">DocMaster v1.0 → v1.1 path and product completeness</w:t>
            </w:r>
          </w:p>
        </w:tc>
      </w:tr>
    </w:tbl>
    <w:p>
      <w:pPr>
        <w:spacing w:before="0" w:after="80"/>
      </w:pPr>
      <w:r>
        <w:t xml:space="preserve"/>
      </w:r>
    </w:p>
    <w:p>
      <w:pPr>
        <w:pStyle w:val="Heading1"/>
        <w:pBdr>
          <w:bottom w:val="single" w:color="0E7490" w:sz="8" w:space="2"/>
        </w:pBdr>
        <w:spacing w:before="480" w:after="160"/>
      </w:pPr>
      <w:r>
        <w:rPr>
          <w:rFonts w:ascii="Arial" w:cs="Arial" w:eastAsia="Arial" w:hAnsi="Arial"/>
          <w:b/>
          <w:bCs/>
          <w:color w:val="1E293B"/>
          <w:sz w:val="40"/>
          <w:szCs w:val="40"/>
        </w:rPr>
        <w:t xml:space="preserve">Final Notes &amp; Project Completion</w:t>
      </w:r>
    </w:p>
    <w:p>
      <w:pPr>
        <w:pStyle w:val="Heading2"/>
        <w:spacing w:before="360" w:after="120"/>
      </w:pPr>
      <w:r>
        <w:rPr>
          <w:rFonts w:ascii="Arial" w:cs="Arial" w:eastAsia="Arial" w:hAnsi="Arial"/>
          <w:b/>
          <w:bCs/>
          <w:color w:val="0E7490"/>
          <w:sz w:val="30"/>
          <w:szCs w:val="30"/>
        </w:rPr>
        <w:t xml:space="preserve">11.1 What Phase 5 Completes</w:t>
      </w:r>
    </w:p>
    <w:p>
      <w:pPr>
        <w:spacing w:before="60" w:after="100"/>
      </w:pPr>
      <w:r>
        <w:rPr>
          <w:rFonts w:ascii="Arial" w:cs="Arial" w:eastAsia="Arial" w:hAnsi="Arial"/>
          <w:color w:val="334155"/>
          <w:sz w:val="22"/>
          <w:szCs w:val="22"/>
        </w:rPr>
        <w:t xml:space="preserve">With Phase 5, the DocMaster specification is complete. The five phases together define a fully realised product:</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260"/>
      </w:tblGrid>
      <w:tr>
        <w:tc>
          <w:tcPr>
            <w:tcW w:type="dxa" w:w="9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2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Title</w:t>
            </w:r>
          </w:p>
        </w:tc>
        <w:tc>
          <w:tcPr>
            <w:tcW w:type="dxa" w:w="62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What It Delivered</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Phase 1</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Foundation &amp; Market Fit</w:t>
            </w:r>
          </w:p>
        </w:tc>
        <w:tc>
          <w:tcPr>
            <w:tcW w:type="dxa" w:w="6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Core concept, OCR engine selection, pipeline architecture, target market strategy, cost model, and consistency framework</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Phase 2</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Appliance Architecture</w:t>
            </w:r>
          </w:p>
        </w:tc>
        <w:tc>
          <w:tcPr>
            <w:tcW w:type="dxa" w:w="6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Linux appliance design, /opt directory structure, systemd microservice model, API roadmap, Ollama integration, Blue/Green resilience framework</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Phase 3</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API Identity &amp; Resilience</w:t>
            </w:r>
          </w:p>
        </w:tc>
        <w:tc>
          <w:tcPr>
            <w:tcW w:type="dxa" w:w="6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DocMaster /dm/ API namespace methodology, full service resilience engineering (watchdog, cron self-healing, boot ordering, update safety)</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Phase 4</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Build Execution Specification</w:t>
            </w:r>
          </w:p>
        </w:tc>
        <w:tc>
          <w:tcPr>
            <w:tcW w:type="dxa" w:w="6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Dual installer (ISO + bash script), complete database schema, all systemd unit files, full /dm/ API reference, security hardening, QA matrix, GTM checklist</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Phase 5</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The Insights Engine</w:t>
            </w:r>
          </w:p>
        </w:tc>
        <w:tc>
          <w:tcPr>
            <w:tcW w:type="dxa" w:w="6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Cross-document analytics, entity graph, anomaly detection, NL query engine, report generator, BI export, /dm/insights/ API, Insights UI section</w:t>
            </w:r>
          </w:p>
        </w:tc>
      </w:tr>
    </w:tbl>
    <w:p>
      <w:pPr>
        <w:spacing w:before="0" w:after="120"/>
      </w:pPr>
      <w:r>
        <w:t xml:space="preserve"/>
      </w:r>
    </w:p>
    <w:p>
      <w:pPr>
        <w:pStyle w:val="Heading2"/>
        <w:spacing w:before="360" w:after="120"/>
      </w:pPr>
      <w:r>
        <w:rPr>
          <w:rFonts w:ascii="Arial" w:cs="Arial" w:eastAsia="Arial" w:hAnsi="Arial"/>
          <w:b/>
          <w:bCs/>
          <w:color w:val="0E7490"/>
          <w:sz w:val="30"/>
          <w:szCs w:val="30"/>
        </w:rPr>
        <w:t xml:space="preserve">11.2 Release Path</w:t>
      </w:r>
    </w:p>
    <w:p>
      <w:pPr>
        <w:spacing w:before="60" w:after="100"/>
      </w:pPr>
      <w:r>
        <w:rPr>
          <w:rFonts w:ascii="Arial" w:cs="Arial" w:eastAsia="Arial" w:hAnsi="Arial"/>
          <w:color w:val="334155"/>
          <w:sz w:val="22"/>
          <w:szCs w:val="22"/>
        </w:rPr>
        <w:t xml:space="preserve">DocMaster v1.0 ships when all Phase 4 CRITICAL and HIGH checklist items are complete and the 20-case QA matrix passes on all 6 target environments. DocMaster v1.1 ships when Phase 5 CRITICAL items are complete and TC-P5-001 through TC-P5-015 pass. The two releases can be developed in parallel — the Phase 5 analytics layer is fully additive and does not touch any Phase 4 code.</w:t>
      </w:r>
    </w:p>
    <w:p>
      <w:pPr>
        <w:spacing w:before="0" w:after="80"/>
      </w:pPr>
      <w:r>
        <w:t xml:space="preserve"/>
      </w:r>
    </w:p>
    <w:p>
      <w:pPr>
        <w:pStyle w:val="Heading2"/>
        <w:spacing w:before="360" w:after="120"/>
      </w:pPr>
      <w:r>
        <w:rPr>
          <w:rFonts w:ascii="Arial" w:cs="Arial" w:eastAsia="Arial" w:hAnsi="Arial"/>
          <w:b/>
          <w:bCs/>
          <w:color w:val="0E7490"/>
          <w:sz w:val="30"/>
          <w:szCs w:val="30"/>
        </w:rPr>
        <w:t xml:space="preserve">11.3 The Completed Vision</w:t>
      </w:r>
    </w:p>
    <w:p>
      <w:pPr>
        <w:spacing w:before="60" w:after="100"/>
      </w:pPr>
      <w:r>
        <w:rPr>
          <w:rFonts w:ascii="Arial" w:cs="Arial" w:eastAsia="Arial" w:hAnsi="Arial"/>
          <w:color w:val="334155"/>
          <w:sz w:val="22"/>
          <w:szCs w:val="22"/>
        </w:rPr>
        <w:t xml:space="preserve">The original vision was to build a platform that transforms raw documents into easy, digestible, and actionable institutional intelligence — something that works across multiple data types, aggregates insights, and does it all locally without cloud dependency. Phase 5 delivers the intelligence layer that makes that vision complete.</w:t>
      </w:r>
    </w:p>
    <w:p>
      <w:pPr>
        <w:spacing w:before="0" w:after="80"/>
      </w:pPr>
      <w:r>
        <w:t xml:space="preserve"/>
      </w:r>
    </w:p>
    <w:p>
      <w:pPr>
        <w:spacing w:before="60" w:after="100"/>
      </w:pPr>
      <w:r>
        <w:rPr>
          <w:rFonts w:ascii="Arial" w:cs="Arial" w:eastAsia="Arial" w:hAnsi="Arial"/>
          <w:color w:val="334155"/>
          <w:sz w:val="22"/>
          <w:szCs w:val="22"/>
        </w:rPr>
        <w:t xml:space="preserve">A land registry operator in Georgetown can now flash a USB drive, boot a server, activate DocMaster, feed in 40 years of paper deeds through the office scanner, and within hours have a fully indexed, searchable, anomaly-flagged vault with an entity graph showing every property owner and their relationships — accessible through a clean browser interface with no internet, no cloud subscription, and no data leaving the building.</w:t>
      </w:r>
    </w:p>
    <w:p>
      <w:pPr>
        <w:spacing w:before="0" w:after="80"/>
      </w:pPr>
      <w:r>
        <w:t xml:space="preserve"/>
      </w:r>
    </w:p>
    <w:p>
      <w:pPr>
        <w:spacing w:before="60" w:after="100"/>
      </w:pPr>
      <w:r>
        <w:rPr>
          <w:rFonts w:ascii="Arial" w:cs="Arial" w:eastAsia="Arial" w:hAnsi="Arial"/>
          <w:color w:val="334155"/>
          <w:sz w:val="22"/>
          <w:szCs w:val="22"/>
        </w:rPr>
        <w:t xml:space="preserve">That is DocMaster. Phase 5 is complete.</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Borders>
              <w:top w:val="none" w:color="FFFFFF" w:sz="0"/>
              <w:left w:val="none" w:color="FFFFFF" w:sz="0"/>
              <w:bottom w:val="none" w:color="FFFFFF" w:sz="0"/>
              <w:right w:val="none" w:color="FFFFFF" w:sz="0"/>
            </w:tcBorders>
            <w:shd w:fill="F0F9FF" w:val="clear"/>
            <w:tcMar>
              <w:top w:type="dxa" w:w="120"/>
              <w:left w:type="dxa" w:w="120"/>
              <w:bottom w:type="dxa" w:w="120"/>
              <w:right w:type="dxa" w:w="0"/>
            </w:tcMar>
          </w:tcPr>
          <w:p>
            <w:pPr>
              <w:jc w:val="center"/>
            </w:pPr>
            <w:r>
              <w:rPr>
                <w:rFonts w:ascii="Arial" w:cs="Arial" w:eastAsia="Arial" w:hAnsi="Arial"/>
                <w:sz w:val="24"/>
                <w:szCs w:val="24"/>
              </w:rPr>
              <w:t xml:space="preserve">✦</w:t>
            </w:r>
          </w:p>
        </w:tc>
        <w:tc>
          <w:tcPr>
            <w:tcBorders>
              <w:top w:val="none" w:color="FFFFFF" w:sz="0"/>
              <w:left w:val="none" w:color="FFFFFF" w:sz="0"/>
              <w:bottom w:val="none" w:color="FFFFFF" w:sz="0"/>
              <w:right w:val="none" w:color="FFFFFF" w:sz="0"/>
            </w:tcBorders>
            <w:shd w:fill="F0F9FF" w:val="clear"/>
            <w:tcMar>
              <w:top w:type="dxa" w:w="120"/>
              <w:left w:type="dxa" w:w="120"/>
              <w:bottom w:type="dxa" w:w="120"/>
              <w:right w:type="dxa" w:w="180"/>
            </w:tcMar>
          </w:tcPr>
          <w:p>
            <w:r>
              <w:rPr>
                <w:rFonts w:ascii="Arial" w:cs="Arial" w:eastAsia="Arial" w:hAnsi="Arial"/>
                <w:i/>
                <w:iCs/>
                <w:color w:val="1E293B"/>
                <w:sz w:val="20"/>
                <w:szCs w:val="20"/>
              </w:rPr>
              <w:t xml:space="preserve">DocMaster Phases 1–5 are complete. The full specification covers: product concept and market strategy, appliance architecture and pipeline design, API identity and resilience engineering, build execution and production readiness, and the Insights Engine analytics layer. Total: 5 phases, 5 documents, one complete product.</w:t>
            </w:r>
          </w:p>
        </w:tc>
      </w:tr>
    </w:tbl>
    <w:p>
      <w:pPr>
        <w:spacing w:before="0" w:after="160"/>
      </w:pPr>
      <w:r>
        <w:t xml:space="preserve"/>
      </w:r>
    </w:p>
    <w:p>
      <w:pPr>
        <w:spacing w:before="0" w:after="0"/>
        <w:jc w:val="center"/>
      </w:pPr>
      <w:r>
        <w:rPr>
          <w:rFonts w:ascii="Arial" w:cs="Arial" w:eastAsia="Arial" w:hAnsi="Arial"/>
          <w:b/>
          <w:bCs/>
          <w:color w:val="94A3B8"/>
          <w:sz w:val="18"/>
          <w:szCs w:val="18"/>
        </w:rPr>
        <w:t xml:space="preserve">END OF DOCUMENT — DOCMASTER PHASE 5 — CONFIDENTIAL &amp; PROPRIETARY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tabs>
        <w:tab w:val="right" w:pos="9026"/>
      </w:tabs>
    </w:pPr>
    <w:r>
      <w:rPr>
        <w:rFonts w:ascii="Arial" w:cs="Arial" w:eastAsia="Arial" w:hAnsi="Arial"/>
        <w:color w:val="64748B"/>
        <w:sz w:val="16"/>
        <w:szCs w:val="16"/>
      </w:rPr>
      <w:t xml:space="preserve">DocMaster Document Intelligence Appliance  —  Proprietary &amp; Confidential</w:t>
    </w:r>
    <w:r>
      <w:rPr>
        <w:rFonts w:ascii="Arial" w:cs="Arial" w:eastAsia="Arial" w:hAnsi="Arial"/>
        <w:sz w:val="16"/>
        <w:szCs w:val="16"/>
      </w:rPr>
      <w:t xml:space="preserve">	</w:t>
    </w: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1"/>
      </w:pBdr>
      <w:tabs>
        <w:tab w:val="right" w:pos="9026"/>
      </w:tabs>
    </w:pPr>
    <w:r>
      <w:rPr>
        <w:rFonts w:ascii="Arial" w:cs="Arial" w:eastAsia="Arial" w:hAnsi="Arial"/>
        <w:color w:val="64748B"/>
        <w:sz w:val="18"/>
        <w:szCs w:val="18"/>
      </w:rPr>
      <w:t xml:space="preserve">DocMaster  |  Phase 5 — The Insights Engine</w:t>
    </w:r>
    <w:r>
      <w:rPr>
        <w:rFonts w:ascii="Arial" w:cs="Arial" w:eastAsia="Arial" w:hAnsi="Arial"/>
        <w:sz w:val="18"/>
        <w:szCs w:val="18"/>
      </w:rPr>
      <w:t xml:space="preserve">	</w:t>
    </w:r>
    <w:r>
      <w:rPr>
        <w:rFonts w:ascii="Arial" w:cs="Arial" w:eastAsia="Arial" w:hAnsi="Arial"/>
        <w:b/>
        <w:bCs/>
        <w:color w:val="0E7490"/>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E293B"/>
      <w:sz w:val="40"/>
      <w:szCs w:val="40"/>
    </w:rPr>
  </w:style>
  <w:style w:type="paragraph" w:styleId="Heading2">
    <w:name w:val="Heading 2"/>
    <w:basedOn w:val="Normal"/>
    <w:next w:val="Normal"/>
    <w:qFormat/>
    <w:pPr>
      <w:spacing w:before="360" w:after="120"/>
      <w:outlineLvl w:val="1"/>
    </w:pPr>
    <w:rPr>
      <w:rFonts w:ascii="Arial" w:cs="Arial" w:eastAsia="Arial" w:hAnsi="Arial"/>
      <w:b/>
      <w:bCs/>
      <w:color w:val="0E7490"/>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2026-03-03T15:19:01.044Z</dcterms:created>
  <dcterms:modified xsi:type="dcterms:W3CDTF">2026-03-03T15:19:01.045Z</dcterms:modified>
</cp:coreProperties>
</file>

<file path=docProps/custom.xml><?xml version="1.0" encoding="utf-8"?>
<Properties xmlns="http://schemas.openxmlformats.org/officeDocument/2006/custom-properties" xmlns:vt="http://schemas.openxmlformats.org/officeDocument/2006/docPropsVTypes"/>
</file>