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80"/>
              <w:left w:type="dxa" w:w="480"/>
              <w:bottom w:type="dxa" w:w="480"/>
              <w:right w:type="dxa" w:w="480"/>
            </w:tcMar>
          </w:tcPr>
          <w:p>
            <w:pPr>
              <w:spacing w:before="0" w:after="60"/>
              <w:jc w:val="center"/>
            </w:pPr>
            <w:r>
              <w:rPr>
                <w:rFonts w:ascii="Arial" w:cs="Arial" w:eastAsia="Arial" w:hAnsi="Arial"/>
                <w:b/>
                <w:bCs/>
                <w:color w:val="38BDF8"/>
                <w:sz w:val="96"/>
                <w:szCs w:val="96"/>
              </w:rPr>
              <w:t xml:space="preserve">DocMaster</w:t>
            </w:r>
          </w:p>
          <w:p>
            <w:pPr>
              <w:spacing w:before="0" w:after="80"/>
              <w:jc w:val="center"/>
            </w:pPr>
            <w:r>
              <w:rPr>
                <w:rFonts w:ascii="Arial" w:cs="Arial" w:eastAsia="Arial" w:hAnsi="Arial"/>
                <w:color w:val="94A3B8"/>
                <w:sz w:val="32"/>
                <w:szCs w:val="32"/>
              </w:rPr>
              <w:t xml:space="preserve">Document Intelligence Appliance</w:t>
            </w:r>
          </w:p>
          <w:p>
            <w:pPr>
              <w:spacing w:before="0" w:after="0"/>
              <w:jc w:val="center"/>
            </w:pPr>
            <w:r>
              <w:rPr>
                <w:rFonts w:ascii="Arial" w:cs="Arial" w:eastAsia="Arial" w:hAnsi="Arial"/>
                <w:color w:val="B45309"/>
                <w:sz w:val="22"/>
                <w:szCs w:val="22"/>
              </w:rPr>
              <w:t xml:space="preserve">━━━━━━━━━━━━━━━━━━━━━━━━━━━━━━━━━━━━━━</w:t>
            </w:r>
          </w:p>
          <w:p>
            <w:pPr>
              <w:spacing w:before="0" w:after="80"/>
            </w:pPr>
            <w:r>
              <w:t xml:space="preserve"/>
            </w:r>
          </w:p>
          <w:p>
            <w:pPr>
              <w:spacing w:before="0" w:after="60"/>
              <w:jc w:val="center"/>
            </w:pPr>
            <w:r>
              <w:rPr>
                <w:rFonts w:ascii="Arial" w:cs="Arial" w:eastAsia="Arial" w:hAnsi="Arial"/>
                <w:b/>
                <w:bCs/>
                <w:color w:val="FFFFFF"/>
                <w:sz w:val="28"/>
                <w:szCs w:val="28"/>
              </w:rPr>
              <w:t xml:space="preserve">PHASE 6 — GO-LIVE &amp; OPERATIONAL READINESS</w:t>
            </w:r>
          </w:p>
          <w:p>
            <w:pPr>
              <w:spacing w:before="0" w:after="0"/>
              <w:jc w:val="center"/>
            </w:pPr>
            <w:r>
              <w:rPr>
                <w:rFonts w:ascii="Arial" w:cs="Arial" w:eastAsia="Arial" w:hAnsi="Arial"/>
                <w:color w:val="94A3B8"/>
                <w:sz w:val="22"/>
                <w:szCs w:val="22"/>
              </w:rPr>
              <w:t xml:space="preserve">Pricing, Licensing, Multi-Language, ARM64, Field Operations &amp; Release Roadmap</w:t>
            </w:r>
          </w:p>
        </w:tc>
      </w:tr>
    </w:tbl>
    <w:p>
      <w:pPr>
        <w:spacing w:before="0" w:after="240"/>
      </w:pPr>
      <w:r>
        <w:t xml:space="preserve"/>
      </w:r>
    </w:p>
    <w:p>
      <w:pPr>
        <w:spacing w:before="0" w:after="60"/>
        <w:jc w:val="right"/>
      </w:pPr>
      <w:r>
        <w:rPr>
          <w:rFonts w:ascii="Arial" w:cs="Arial" w:eastAsia="Arial" w:hAnsi="Arial"/>
          <w:color w:val="64748B"/>
          <w:sz w:val="20"/>
          <w:szCs w:val="20"/>
        </w:rPr>
        <w:t xml:space="preserve">Date: March 3, 2026</w:t>
      </w:r>
    </w:p>
    <w:p>
      <w:pPr>
        <w:spacing w:before="0" w:after="60"/>
        <w:jc w:val="right"/>
      </w:pPr>
      <w:r>
        <w:rPr>
          <w:rFonts w:ascii="Arial" w:cs="Arial" w:eastAsia="Arial" w:hAnsi="Arial"/>
          <w:b/>
          <w:bCs/>
          <w:color w:val="0E7490"/>
          <w:sz w:val="20"/>
          <w:szCs w:val="20"/>
        </w:rPr>
        <w:t xml:space="preserve">Classification: CONFIDENTIAL — PROPRIETARY</w:t>
      </w:r>
    </w:p>
    <w:p>
      <w:pPr>
        <w:spacing w:before="0" w:after="60"/>
        <w:jc w:val="right"/>
      </w:pPr>
      <w:r>
        <w:rPr>
          <w:rFonts w:ascii="Arial" w:cs="Arial" w:eastAsia="Arial" w:hAnsi="Arial"/>
          <w:color w:val="64748B"/>
          <w:sz w:val="20"/>
          <w:szCs w:val="20"/>
        </w:rPr>
        <w:t xml:space="preserve">Product: DocMaster  |  Phase: 6 of 6 (Go-Live &amp; Ops)</w:t>
      </w:r>
    </w:p>
    <w:p>
      <w:pPr>
        <w:spacing w:before="0" w:after="60"/>
        <w:jc w:val="right"/>
      </w:pPr>
      <w:r>
        <w:rPr>
          <w:rFonts w:ascii="Arial" w:cs="Arial" w:eastAsia="Arial" w:hAnsi="Arial"/>
          <w:color w:val="64748B"/>
          <w:sz w:val="20"/>
          <w:szCs w:val="20"/>
        </w:rPr>
        <w:t xml:space="preserve">Covers: v1.0 Ship Criteria → v1.2 Roadmap</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1 — EXECUTIVE SUMMARY</w:t>
            </w:r>
          </w:p>
          <w:p>
            <w:r>
              <w:rPr>
                <w:rFonts w:ascii="Arial" w:cs="Arial" w:eastAsia="Arial" w:hAnsi="Arial"/>
                <w:color w:val="94A3B8"/>
                <w:sz w:val="18"/>
                <w:szCs w:val="18"/>
              </w:rPr>
              <w:t xml:space="preserve">From technical product to shippable, sellable, field-operational platform</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Executive Summary</w:t>
      </w:r>
    </w:p>
    <w:p>
      <w:pPr>
        <w:spacing w:before="60" w:after="100"/>
      </w:pPr>
      <w:r>
        <w:rPr>
          <w:rFonts w:ascii="Arial" w:cs="Arial" w:eastAsia="Arial" w:hAnsi="Arial"/>
          <w:color w:val="334155"/>
          <w:sz w:val="22"/>
          <w:szCs w:val="22"/>
        </w:rPr>
        <w:t xml:space="preserve">Phases 1 through 5 built and fully specified DocMaster as a technical product. The OCR pipeline, the microservice architecture, the API surface, the database schemas, the security model, the installer, the Insights Engine — all of it is defined. Phase 5 closed with the statement that the specification was complete.</w:t>
      </w:r>
    </w:p>
    <w:p>
      <w:pPr>
        <w:spacing w:before="0" w:after="80"/>
      </w:pPr>
      <w:r>
        <w:t xml:space="preserve"/>
      </w:r>
    </w:p>
    <w:p>
      <w:pPr>
        <w:spacing w:before="60" w:after="100"/>
      </w:pPr>
      <w:r>
        <w:rPr>
          <w:rFonts w:ascii="Arial" w:cs="Arial" w:eastAsia="Arial" w:hAnsi="Arial"/>
          <w:color w:val="334155"/>
          <w:sz w:val="22"/>
          <w:szCs w:val="22"/>
        </w:rPr>
        <w:t xml:space="preserve">Phase 6 is where the product becomes a business. A technically complete product is not a shippable product until six things exist: a pricing model that defines what is sold and at what price; a licensing and key delivery mechanism that actually works in the field; OCR validation across the languages spoken in target markets; a low-cost hardware path for budget-constrained deployments; a vendor operations playbook for supporting live customer installations; and a clear, versioned release roadmap that the team can execute against.</w:t>
      </w:r>
    </w:p>
    <w:p>
      <w:pPr>
        <w:spacing w:before="0" w:after="80"/>
      </w:pPr>
      <w:r>
        <w:t xml:space="preserve"/>
      </w:r>
    </w:p>
    <w:p>
      <w:pPr>
        <w:spacing w:before="60" w:after="100"/>
      </w:pPr>
      <w:r>
        <w:rPr>
          <w:rFonts w:ascii="Arial" w:cs="Arial" w:eastAsia="Arial" w:hAnsi="Arial"/>
          <w:color w:val="334155"/>
          <w:sz w:val="22"/>
          <w:szCs w:val="22"/>
        </w:rPr>
        <w:t xml:space="preserve">This document resolves every open item deferred across Phases 4 and 5, defines the DocMaster product tiers and pricing architecture, specifies the complete offline license activation workflow, validates and documents multi-language OCR behaviour, introduces the ARM64 low-cost deployment path, and establishes the operational framework for post-launch field support, updates, and customer onboarding. It closes with the DocMaster v1.0 → v1.1 → v1.2 release roadmap.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PHASE 6 SCOPE: No new technical architecture is introduced. Phase 6 is entirely focused on business readiness, operational processes, language coverage, hardware variants, and the structured path from 'specification complete' to 'product shipped and supported in the field'.</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2 — OPEN ITEMS RESOLUTION</w:t>
            </w:r>
          </w:p>
          <w:p>
            <w:r>
              <w:rPr>
                <w:rFonts w:ascii="Arial" w:cs="Arial" w:eastAsia="Arial" w:hAnsi="Arial"/>
                <w:color w:val="94A3B8"/>
                <w:sz w:val="18"/>
                <w:szCs w:val="18"/>
              </w:rPr>
              <w:t xml:space="preserve">All deferred decisions from Phases 4 and 5 formally closed</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Open Items Resolution</w:t>
      </w:r>
    </w:p>
    <w:p>
      <w:pPr>
        <w:spacing w:before="60" w:after="100"/>
      </w:pPr>
      <w:r>
        <w:rPr>
          <w:rFonts w:ascii="Arial" w:cs="Arial" w:eastAsia="Arial" w:hAnsi="Arial"/>
          <w:color w:val="334155"/>
          <w:sz w:val="22"/>
          <w:szCs w:val="22"/>
        </w:rPr>
        <w:t xml:space="preserve">Six items were explicitly deferred at the end of Phase 4 as requiring business or strategic decisions before they could be specified. All six are resolved in this section. Subsequent sections provide the full detail for each resolution.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150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RESOLVED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Pricing Model</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Three tiers defined: Site License, Multi-Site, and Enterprise. Annual subscription + optional perpetual. Section 3.</w:t>
            </w:r>
          </w:p>
        </w:tc>
      </w:tr>
      <w:tr>
        <w:tc>
          <w:tcPr>
            <w:tcW w:type="dxa" w:w="150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RESOLVED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License Key Delivery</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Vendor Portal + QR code offline fallback. No email with attachment. Full workflow in Section 4.</w:t>
            </w:r>
          </w:p>
        </w:tc>
      </w:tr>
      <w:tr>
        <w:tc>
          <w:tcPr>
            <w:tcW w:type="dxa" w:w="150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RESOLVED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ARM64 Support</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v1.0 ships x86_64 only. ARM64 (Raspberry Pi 5 / Jetson Orin) ships as v1.1 variant. Section 5.</w:t>
            </w:r>
          </w:p>
        </w:tc>
      </w:tr>
      <w:tr>
        <w:tc>
          <w:tcPr>
            <w:tcW w:type="dxa" w:w="150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RESOLVED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Handwriting Fine-Tuning</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Five target-language OCR validation matrix defined. Kraken fine-tuning process documented. Section 6.</w:t>
            </w:r>
          </w:p>
        </w:tc>
      </w:tr>
      <w:tr>
        <w:tc>
          <w:tcPr>
            <w:tcW w:type="dxa" w:w="150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RESOLVED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ISO Code Signing</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Ed25519 vendor key infrastructure defined. Customer verification workflow documented. Section 7.</w:t>
            </w:r>
          </w:p>
        </w:tc>
      </w:tr>
      <w:tr>
        <w:tc>
          <w:tcPr>
            <w:tcW w:type="dxa" w:w="1500"/>
            <w:tcBorders>
              <w:top w:val="single" w:color="CBD5E1" w:sz="1"/>
              <w:left w:val="single" w:color="CBD5E1" w:sz="1"/>
              <w:bottom w:val="single" w:color="CBD5E1" w:sz="1"/>
              <w:right w:val="single" w:color="CBD5E1" w:sz="1"/>
            </w:tcBorders>
            <w:shd w:fill="DCFCE7"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RESOLVED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Backup Encryption Key</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Split-key recovery using 3-of-5 Shamir's Secret Sharing. Never stored on the appliance. Section 4.4.</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3 — PRICING &amp; LICENSING MODEL</w:t>
            </w:r>
          </w:p>
          <w:p>
            <w:r>
              <w:rPr>
                <w:rFonts w:ascii="Arial" w:cs="Arial" w:eastAsia="Arial" w:hAnsi="Arial"/>
                <w:color w:val="94A3B8"/>
                <w:sz w:val="18"/>
                <w:szCs w:val="18"/>
              </w:rPr>
              <w:t xml:space="preserve">Product tiers, pricing architecture, and enforcement strategy</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Pricing &amp; Licensing Model</w:t>
      </w:r>
    </w:p>
    <w:p>
      <w:pPr>
        <w:spacing w:before="60" w:after="100"/>
      </w:pPr>
      <w:r>
        <w:rPr>
          <w:rFonts w:ascii="Arial" w:cs="Arial" w:eastAsia="Arial" w:hAnsi="Arial"/>
          <w:color w:val="334155"/>
          <w:sz w:val="22"/>
          <w:szCs w:val="22"/>
        </w:rPr>
        <w:t xml:space="preserve">DocMaster is sold as a site-licensed software product. A 'site' is defined as a single physical installation on one server or VM cluster at one location. The pricing model is designed for the target market reality: institutional buyers in developing nations have predictable annual operating budgets, often funded by government allocation or donor grants, and need a stable fixed cost they can plan around — not a per-document or per-user metered model that creates unpredictable invoices.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3.1 Product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000"/>
        <w:gridCol w:w="4860"/>
      </w:tblGrid>
      <w:tr>
        <w:tc>
          <w:tcPr>
            <w:tcW w:type="dxa" w:w="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Target Customer</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What's Included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Site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 government office, clinic, or NGO field site. Low-to-moderate volume.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 node license. All Phase 1-4 core features. Local ingestion (drop, SMB, email). OCR + LLM extraction. UI + full API. Health diagnostics. 1 year support.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DocMaster Pro Site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Larger institution: district land registry, regional hospital, customs port.</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Single node license. All Tier 1 features. Phase 5 Insights Engine (analytics, entity graph, NL query, reports). BI export (XLSX, Power BI read-only port). Fax + SFTP connectors. 1 year support.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Multi-Site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Ministry, NGO network, or organisation with 3–10 sites needing coordinated deployment.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 to 10 node licenses under one agreement. All Tier 2 features. Centralised license management dashboard. Coordinated update rollout. Volume pricing. Dedicated account contact. 1 year support.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DocMaster Enterprise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National-scale deployment: entire land registry network, national health system.</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Unlimited nodes under one agreement. All Tier 3 features. Custom OCR model fine-tuning for local language/script. Priority support SLA (4-hour response). Annual on-site review. Custom contract.</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3.2 Pricing Architecture</w:t>
      </w:r>
    </w:p>
    <w:p>
      <w:pPr>
        <w:spacing w:before="60" w:after="100"/>
      </w:pPr>
      <w:r>
        <w:rPr>
          <w:rFonts w:ascii="Arial" w:cs="Arial" w:eastAsia="Arial" w:hAnsi="Arial"/>
          <w:color w:val="334155"/>
          <w:sz w:val="22"/>
          <w:szCs w:val="22"/>
        </w:rPr>
        <w:t xml:space="preserve">Pricing is not published in this document as it is commercially sensitive and subject to market-specific adjustment. The following principles govern how pricing is set and maintained:</w:t>
      </w:r>
    </w:p>
    <w:p>
      <w:pPr>
        <w:spacing w:before="0" w:after="6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Annual subscription baseline: </w:t>
      </w:r>
      <w:r>
        <w:rPr>
          <w:rFonts w:ascii="Arial" w:cs="Arial" w:eastAsia="Arial" w:hAnsi="Arial"/>
          <w:color w:val="334155"/>
          <w:sz w:val="22"/>
          <w:szCs w:val="22"/>
        </w:rPr>
        <w:t xml:space="preserve">the default commercial model is an annual subscription tied to the license expiry date. This ensures recurring revenue and creates a natural cadence for updates and support renewal.</w:t>
      </w:r>
    </w:p>
    <w:p>
      <w:pPr>
        <w:pStyle w:val="ListParagraph"/>
        <w:numPr>
          <w:ilvl w:val="0"/>
          <w:numId w:val="2"/>
        </w:numPr>
        <w:spacing w:before="40" w:after="40"/>
      </w:pPr>
      <w:r>
        <w:rPr>
          <w:rFonts w:ascii="Arial" w:cs="Arial" w:eastAsia="Arial" w:hAnsi="Arial"/>
          <w:b/>
          <w:bCs/>
          <w:color w:val="1E293B"/>
          <w:sz w:val="22"/>
          <w:szCs w:val="22"/>
        </w:rPr>
        <w:t xml:space="preserve">Perpetual license option: </w:t>
      </w:r>
      <w:r>
        <w:rPr>
          <w:rFonts w:ascii="Arial" w:cs="Arial" w:eastAsia="Arial" w:hAnsi="Arial"/>
          <w:color w:val="334155"/>
          <w:sz w:val="22"/>
          <w:szCs w:val="22"/>
        </w:rPr>
        <w:t xml:space="preserve">available for Tier 1 and Tier 2 at 2.5× the annual price. The customer owns the license permanently but support and updates are only included for the first year. Year 2+ support is a separate annual fee.</w:t>
      </w:r>
    </w:p>
    <w:p>
      <w:pPr>
        <w:pStyle w:val="ListParagraph"/>
        <w:numPr>
          <w:ilvl w:val="0"/>
          <w:numId w:val="2"/>
        </w:numPr>
        <w:spacing w:before="40" w:after="40"/>
      </w:pPr>
      <w:r>
        <w:rPr>
          <w:rFonts w:ascii="Arial" w:cs="Arial" w:eastAsia="Arial" w:hAnsi="Arial"/>
          <w:b/>
          <w:bCs/>
          <w:color w:val="1E293B"/>
          <w:sz w:val="22"/>
          <w:szCs w:val="22"/>
        </w:rPr>
        <w:t xml:space="preserve">Grant and donor pricing: </w:t>
      </w:r>
      <w:r>
        <w:rPr>
          <w:rFonts w:ascii="Arial" w:cs="Arial" w:eastAsia="Arial" w:hAnsi="Arial"/>
          <w:color w:val="334155"/>
          <w:sz w:val="22"/>
          <w:szCs w:val="22"/>
        </w:rPr>
        <w:t xml:space="preserve">NGO and government customers purchasing with donor or multilateral funding (World Bank, IDB, USAID, DFID) are eligible for reduced pricing. Criteria: documented proof of donor funding source. Pricing determined per-quote.</w:t>
      </w:r>
    </w:p>
    <w:p>
      <w:pPr>
        <w:pStyle w:val="ListParagraph"/>
        <w:numPr>
          <w:ilvl w:val="0"/>
          <w:numId w:val="2"/>
        </w:numPr>
        <w:spacing w:before="40" w:after="40"/>
      </w:pPr>
      <w:r>
        <w:rPr>
          <w:rFonts w:ascii="Arial" w:cs="Arial" w:eastAsia="Arial" w:hAnsi="Arial"/>
          <w:b/>
          <w:bCs/>
          <w:color w:val="1E293B"/>
          <w:sz w:val="22"/>
          <w:szCs w:val="22"/>
        </w:rPr>
        <w:t xml:space="preserve">Currency flexibility: </w:t>
      </w:r>
      <w:r>
        <w:rPr>
          <w:rFonts w:ascii="Arial" w:cs="Arial" w:eastAsia="Arial" w:hAnsi="Arial"/>
          <w:color w:val="334155"/>
          <w:sz w:val="22"/>
          <w:szCs w:val="22"/>
        </w:rPr>
        <w:t xml:space="preserve">DocMaster is priced in USD as the primary currency. Invoicing in local currency (GYD, XCD, GHS, INR, etc.) is available at the prevailing exchange rate at invoice date.</w:t>
      </w:r>
    </w:p>
    <w:p>
      <w:pPr>
        <w:pStyle w:val="ListParagraph"/>
        <w:numPr>
          <w:ilvl w:val="0"/>
          <w:numId w:val="2"/>
        </w:numPr>
        <w:spacing w:before="40" w:after="40"/>
      </w:pPr>
      <w:r>
        <w:rPr>
          <w:rFonts w:ascii="Arial" w:cs="Arial" w:eastAsia="Arial" w:hAnsi="Arial"/>
          <w:b/>
          <w:bCs/>
          <w:color w:val="1E293B"/>
          <w:sz w:val="22"/>
          <w:szCs w:val="22"/>
        </w:rPr>
        <w:t xml:space="preserve">Volume discount (Multi-Site): </w:t>
      </w:r>
      <w:r>
        <w:rPr>
          <w:rFonts w:ascii="Arial" w:cs="Arial" w:eastAsia="Arial" w:hAnsi="Arial"/>
          <w:color w:val="334155"/>
          <w:sz w:val="22"/>
          <w:szCs w:val="22"/>
        </w:rPr>
        <w:t xml:space="preserve">Tier 3 sites 1–3 at full Tier 2 price; sites 4–7 at 20% discount; sites 8–10 at 35% discount. Applied automatically based on site count in the agreement.</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3.3 What the License Enforces</w:t>
      </w:r>
    </w:p>
    <w:p>
      <w:pPr>
        <w:spacing w:before="60" w:after="100"/>
      </w:pPr>
      <w:r>
        <w:rPr>
          <w:rFonts w:ascii="Arial" w:cs="Arial" w:eastAsia="Arial" w:hAnsi="Arial"/>
          <w:color w:val="334155"/>
          <w:sz w:val="22"/>
          <w:szCs w:val="22"/>
        </w:rPr>
        <w:t xml:space="preserve">The node-locked licensing system (specified in Phase 4, Section 8) enforces the following at the technical level: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Enforcement Point</w:t>
            </w:r>
          </w:p>
        </w:tc>
        <w:tc>
          <w:tcPr>
            <w:tcW w:type="dxa" w:w="3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Effect on Expiry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Single-node binding</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Hardware fingerprint (CPU ID + MAC + system UUID) tied to license.key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Attempting to run on different hardware locks the UI immediately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expiry</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dm-license-check.sh cron runs daily. License.key contains signed expiry date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30-day warning banner in UI. At expiry: read-only mode (no new ingestion, existing docs still accessible)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Read-only grace mode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 expiry, dm-flux.service refuses new jobs. dm-core.service allows reads only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retains access to all processed documents. Cannot process new documents. Renewing restores full function.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enforcement</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License.key signed payload includes tier flag (1,2,3,4)</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5 Insights Engine routes return DM_4035 (feature_not_licensed) for Tier 1 keys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Multi-site node count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 license generator tracks seat allocation per agreement 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Attempting to activate more nodes than licensed returns DM_4036 (seat_limit_exceeded)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READ-ONLY GRACE MODE is a deliberate, customer-friendly design choice. When a license expires, the institution does not lose access to years of digitised records. They simply cannot process new documents until renewal. This reduces the commercial risk of non-renewal conversations and avoids the adversarial 'we're locking you out' dynamic that destroys trust with government customers.</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4 — LICENSE KEY DELIVERY &amp; ACTIVATION</w:t>
            </w:r>
          </w:p>
          <w:p>
            <w:r>
              <w:rPr>
                <w:rFonts w:ascii="Arial" w:cs="Arial" w:eastAsia="Arial" w:hAnsi="Arial"/>
                <w:color w:val="94A3B8"/>
                <w:sz w:val="18"/>
                <w:szCs w:val="18"/>
              </w:rPr>
              <w:t xml:space="preserve">Offline-first activation flow, vendor portal, QR fallback, and key recovery</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License Key Delivery &amp; Activation Workflow</w:t>
      </w:r>
    </w:p>
    <w:p>
      <w:pPr>
        <w:spacing w:before="60" w:after="100"/>
      </w:pPr>
      <w:r>
        <w:rPr>
          <w:rFonts w:ascii="Arial" w:cs="Arial" w:eastAsia="Arial" w:hAnsi="Arial"/>
          <w:color w:val="334155"/>
          <w:sz w:val="22"/>
          <w:szCs w:val="22"/>
        </w:rPr>
        <w:t xml:space="preserve">The single hardest operational challenge for an air-gapped, offline-first product is the license activation handshake. The customer's appliance has no internet access. They need to get a hardware fingerprint to the vendor and receive a signed license.key back — through a channel that works even when email attachments are unreliable, bandwidth is constrained, or the IT contact is non-technical.</w:t>
      </w:r>
    </w:p>
    <w:p>
      <w:pPr>
        <w:spacing w:before="0" w:after="80"/>
      </w:pPr>
      <w:r>
        <w:t xml:space="preserve"/>
      </w:r>
    </w:p>
    <w:p>
      <w:pPr>
        <w:spacing w:before="60" w:after="100"/>
      </w:pPr>
      <w:r>
        <w:rPr>
          <w:rFonts w:ascii="Arial" w:cs="Arial" w:eastAsia="Arial" w:hAnsi="Arial"/>
          <w:color w:val="334155"/>
          <w:sz w:val="22"/>
          <w:szCs w:val="22"/>
        </w:rPr>
        <w:t xml:space="preserve">DocMaster solves this with a three-channel activation system. Customers always have a primary and two fallback options. All three channels are initiated from the DocMaster first-boot wizard, which is the only screen visible until the appliance is activated.</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4.1 The Three Activation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400"/>
        <w:gridCol w:w="17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Best For</w:t>
            </w:r>
          </w:p>
        </w:tc>
        <w:tc>
          <w:tcPr>
            <w:tcW w:type="dxa" w:w="1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Requires Internet on Appliance?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Channel A — Vendor Portal (Primary)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opens the vendor portal (vendor website) on any internet-connected device — their phone, a laptop on a different network, a phone hotspot. They enter the 8-word activation code shown on the DocMaster first-boot wizard. The portal displays the license.key file download link immediately.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Customers with any internet-connected device nearby, even mobile data.</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portal opened on a separate device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Channel B — QR Code (Offline Fallback)</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The first-boot wizard displays a QR code encoding the hardware fingerprint. The customer scans it with their phone. The QR links to the vendor portal with the fingerprint pre-filled. Same portal flow as Channel 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Non-technical operators who find typing the 8-word code error-prone.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QR scanned with phone camera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Channel C — Email (Last Resort)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first-boot wizard displays the full hardware fingerprint as a 64-character hex string. The customer emails or WhatsApp-messages it to the vendor support address from their phone. Vendor responds with the license.key as an attachment or as a URL to download 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Environments with no smartphone camera or where portal access is blocked by network policy.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sent from operator's personal device</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4.2 Vendor Portal Architecture</w:t>
      </w:r>
    </w:p>
    <w:p>
      <w:pPr>
        <w:spacing w:before="60" w:after="100"/>
      </w:pPr>
      <w:r>
        <w:rPr>
          <w:rFonts w:ascii="Arial" w:cs="Arial" w:eastAsia="Arial" w:hAnsi="Arial"/>
          <w:color w:val="334155"/>
          <w:sz w:val="22"/>
          <w:szCs w:val="22"/>
        </w:rPr>
        <w:t xml:space="preserve">The vendor portal is a lightweight web application hosted on the vendor's infrastructure (outside the DocMaster appliance). It is the vendor's internal tooling — customers interact with it only to complete activation.</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Activation code input: </w:t>
      </w:r>
      <w:r>
        <w:rPr>
          <w:rFonts w:ascii="Arial" w:cs="Arial" w:eastAsia="Arial" w:hAnsi="Arial"/>
          <w:color w:val="334155"/>
          <w:sz w:val="22"/>
          <w:szCs w:val="22"/>
        </w:rPr>
        <w:t xml:space="preserve">8 randomly generated English words (BIP39 wordlist subset) that encode the hardware fingerprint. Words are human-readable and telephone-dictatable, unlike hex strings.</w:t>
      </w:r>
    </w:p>
    <w:p>
      <w:pPr>
        <w:pStyle w:val="ListParagraph"/>
        <w:numPr>
          <w:ilvl w:val="0"/>
          <w:numId w:val="2"/>
        </w:numPr>
        <w:spacing w:before="40" w:after="40"/>
      </w:pPr>
      <w:r>
        <w:rPr>
          <w:rFonts w:ascii="Arial" w:cs="Arial" w:eastAsia="Arial" w:hAnsi="Arial"/>
          <w:b/>
          <w:bCs/>
          <w:color w:val="1E293B"/>
          <w:sz w:val="22"/>
          <w:szCs w:val="22"/>
        </w:rPr>
        <w:t xml:space="preserve">Instant key generation: </w:t>
      </w:r>
      <w:r>
        <w:rPr>
          <w:rFonts w:ascii="Arial" w:cs="Arial" w:eastAsia="Arial" w:hAnsi="Arial"/>
          <w:color w:val="334155"/>
          <w:sz w:val="22"/>
          <w:szCs w:val="22"/>
        </w:rPr>
        <w:t xml:space="preserve">the portal passes the activation code to the vendor's license generator service, which validates the code, checks the associated agreement for seat availability and tier, signs a license.key, and returns the download URL — all in under 2 seconds.</w:t>
      </w:r>
    </w:p>
    <w:p>
      <w:pPr>
        <w:pStyle w:val="ListParagraph"/>
        <w:numPr>
          <w:ilvl w:val="0"/>
          <w:numId w:val="2"/>
        </w:numPr>
        <w:spacing w:before="40" w:after="40"/>
      </w:pPr>
      <w:r>
        <w:rPr>
          <w:rFonts w:ascii="Arial" w:cs="Arial" w:eastAsia="Arial" w:hAnsi="Arial"/>
          <w:b/>
          <w:bCs/>
          <w:color w:val="1E293B"/>
          <w:sz w:val="22"/>
          <w:szCs w:val="22"/>
        </w:rPr>
        <w:t xml:space="preserve">Delivery mechanism: </w:t>
      </w:r>
      <w:r>
        <w:rPr>
          <w:rFonts w:ascii="Arial" w:cs="Arial" w:eastAsia="Arial" w:hAnsi="Arial"/>
          <w:color w:val="334155"/>
          <w:sz w:val="22"/>
          <w:szCs w:val="22"/>
        </w:rPr>
        <w:t xml:space="preserve">the portal displays a single large button: 'Download license.key'. No email attachment. The customer downloads the file to their phone, USB drive, or whatever transfer method is available, and uploads it through the DocMaster first-boot wizard.</w:t>
      </w:r>
    </w:p>
    <w:p>
      <w:pPr>
        <w:pStyle w:val="ListParagraph"/>
        <w:numPr>
          <w:ilvl w:val="0"/>
          <w:numId w:val="2"/>
        </w:numPr>
        <w:spacing w:before="40" w:after="40"/>
      </w:pPr>
      <w:r>
        <w:rPr>
          <w:rFonts w:ascii="Arial" w:cs="Arial" w:eastAsia="Arial" w:hAnsi="Arial"/>
          <w:b/>
          <w:bCs/>
          <w:color w:val="1E293B"/>
          <w:sz w:val="22"/>
          <w:szCs w:val="22"/>
        </w:rPr>
        <w:t xml:space="preserve">Activation log: </w:t>
      </w:r>
      <w:r>
        <w:rPr>
          <w:rFonts w:ascii="Arial" w:cs="Arial" w:eastAsia="Arial" w:hAnsi="Arial"/>
          <w:color w:val="334155"/>
          <w:sz w:val="22"/>
          <w:szCs w:val="22"/>
        </w:rPr>
        <w:t xml:space="preserve">every activation is logged in the vendor's portal with: agreement ID, node fingerprint, tier, timestamp, and IP address of the device that submitted the activation request. This is the vendor's source of truth for deployed node inventory.</w:t>
      </w:r>
    </w:p>
    <w:p>
      <w:pPr>
        <w:pStyle w:val="ListParagraph"/>
        <w:numPr>
          <w:ilvl w:val="0"/>
          <w:numId w:val="2"/>
        </w:numPr>
        <w:spacing w:before="40" w:after="40"/>
      </w:pPr>
      <w:r>
        <w:rPr>
          <w:rFonts w:ascii="Arial" w:cs="Arial" w:eastAsia="Arial" w:hAnsi="Arial"/>
          <w:b/>
          <w:bCs/>
          <w:color w:val="1E293B"/>
          <w:sz w:val="22"/>
          <w:szCs w:val="22"/>
        </w:rPr>
        <w:t xml:space="preserve">Reactivation: </w:t>
      </w:r>
      <w:r>
        <w:rPr>
          <w:rFonts w:ascii="Arial" w:cs="Arial" w:eastAsia="Arial" w:hAnsi="Arial"/>
          <w:color w:val="334155"/>
          <w:sz w:val="22"/>
          <w:szCs w:val="22"/>
        </w:rPr>
        <w:t xml:space="preserve">if a customer legitimately migrates to new hardware (e.g., server replacement), they can request a reactivation through the portal. The old fingerprint is deauthorised; the new fingerprint is issued a new key. This is a manual approval step to prevent unauthorised transfers.</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4.3 License File Upload — First-Boot Wizard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80"/>
              <w:left w:type="dxa" w:w="180"/>
              <w:bottom w:type="dxa" w:w="0"/>
              <w:right w:type="dxa" w:w="180"/>
            </w:tcMar>
          </w:tcP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DocMaster First-Boot Wizard — screen sequence: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SCREEN 1: Welcome</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Welcome to DocMaster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This appliance must be activated before use.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Your activation code: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amber · falcon · river · cloud ·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stone · marble · delta · north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[Show QR Code]  [Copy to Clipboard]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Visit portal.docmaster.io on any device and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enter this code to receive your license.key file.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Already have your license.key?  [Upload Now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SCREEN 2: Upload license.key</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Upload Your License File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Drop license.key here or click to browse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Back]                      [Activate DocMaster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SCREEN 3: Activation Success</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  DocMaster Activated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License Tier:   DocMaster Pro Site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Valid Until:    30 November 2027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Node ID:        DM-2026-AMBER-FALCON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Now set up your administrator account.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  [Set Up Admin Account →]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0"/>
              <w:right w:type="dxa" w:w="180"/>
            </w:tcMar>
          </w:tcPr>
          <w:p>
            <w:pPr>
              <w:spacing w:before="0" w:after="0"/>
            </w:pPr>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180"/>
              <w:bottom w:type="dxa" w:w="80"/>
              <w:right w:type="dxa" w:w="180"/>
            </w:tcMar>
          </w:tcP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4.4 Backup Encryption Key Recovery — Shamir's Secret Sharing</w:t>
      </w:r>
    </w:p>
    <w:p>
      <w:pPr>
        <w:spacing w:before="60" w:after="100"/>
      </w:pPr>
      <w:r>
        <w:rPr>
          <w:rFonts w:ascii="Arial" w:cs="Arial" w:eastAsia="Arial" w:hAnsi="Arial"/>
          <w:color w:val="334155"/>
          <w:sz w:val="22"/>
          <w:szCs w:val="22"/>
        </w:rPr>
        <w:t xml:space="preserve">The nightly database backup is encrypted using AES-256-GCM with a key derived from a 32-byte master secret generated at installation time. The question deferred since Phase 4 is: what happens if the appliance is destroyed and the master secret is gone?</w:t>
      </w:r>
    </w:p>
    <w:p>
      <w:pPr>
        <w:spacing w:before="0" w:after="80"/>
      </w:pPr>
      <w:r>
        <w:t xml:space="preserve"/>
      </w:r>
    </w:p>
    <w:p>
      <w:pPr>
        <w:spacing w:before="60" w:after="100"/>
      </w:pPr>
      <w:r>
        <w:rPr>
          <w:rFonts w:ascii="Arial" w:cs="Arial" w:eastAsia="Arial" w:hAnsi="Arial"/>
          <w:color w:val="334155"/>
          <w:sz w:val="22"/>
          <w:szCs w:val="22"/>
        </w:rPr>
        <w:t xml:space="preserve">DocMaster uses Shamir's Secret Sharing (SSS) to split the master backup encryption secret into 5 shares. A quorum of any 3 shares is sufficient to reconstruct the secret. This is the same cryptographic approach used by cryptocurrency hardware wallets and enterprise key management systems for offline key recovery.</w:t>
      </w:r>
    </w:p>
    <w:p>
      <w:pPr>
        <w:spacing w:before="0" w:after="80"/>
      </w:pPr>
      <w:r>
        <w:t xml:space="preserve"/>
      </w:r>
    </w:p>
    <w:p>
      <w:pPr>
        <w:spacing w:before="240" w:after="80"/>
      </w:pPr>
      <w:r>
        <w:rPr>
          <w:rFonts w:ascii="Arial" w:cs="Arial" w:eastAsia="Arial" w:hAnsi="Arial"/>
          <w:b/>
          <w:bCs/>
          <w:color w:val="1E293B"/>
          <w:sz w:val="24"/>
          <w:szCs w:val="24"/>
        </w:rPr>
        <w:t xml:space="preserve">SSS Implementation</w:t>
      </w:r>
    </w:p>
    <w:p>
      <w:pPr>
        <w:pStyle w:val="ListParagraph"/>
        <w:numPr>
          <w:ilvl w:val="0"/>
          <w:numId w:val="3"/>
        </w:numPr>
        <w:spacing w:before="40" w:after="40"/>
      </w:pPr>
      <w:r>
        <w:rPr>
          <w:rFonts w:ascii="Arial" w:cs="Arial" w:eastAsia="Arial" w:hAnsi="Arial"/>
          <w:b/>
          <w:bCs/>
          <w:color w:val="1E293B"/>
          <w:sz w:val="22"/>
          <w:szCs w:val="22"/>
        </w:rPr>
        <w:t xml:space="preserve">At installation: </w:t>
      </w:r>
      <w:r>
        <w:rPr>
          <w:rFonts w:ascii="Arial" w:cs="Arial" w:eastAsia="Arial" w:hAnsi="Arial"/>
          <w:color w:val="334155"/>
          <w:sz w:val="22"/>
          <w:szCs w:val="22"/>
        </w:rPr>
        <w:t xml:space="preserve">dm-install.sh generates the 32-byte backup master secret. The SSS library splits it into 5 shares. Each share is a 64-character hex string printed to the terminal and written to /tmp/dm-recovery-shares.txt (this file is deleted after the wizard completes).</w:t>
      </w:r>
    </w:p>
    <w:p>
      <w:pPr>
        <w:pStyle w:val="ListParagraph"/>
        <w:numPr>
          <w:ilvl w:val="0"/>
          <w:numId w:val="3"/>
        </w:numPr>
        <w:spacing w:before="40" w:after="40"/>
      </w:pPr>
      <w:r>
        <w:rPr>
          <w:rFonts w:ascii="Arial" w:cs="Arial" w:eastAsia="Arial" w:hAnsi="Arial"/>
          <w:b/>
          <w:bCs/>
          <w:color w:val="1E293B"/>
          <w:sz w:val="22"/>
          <w:szCs w:val="22"/>
        </w:rPr>
        <w:t xml:space="preserve">Share distribution: </w:t>
      </w:r>
      <w:r>
        <w:rPr>
          <w:rFonts w:ascii="Arial" w:cs="Arial" w:eastAsia="Arial" w:hAnsi="Arial"/>
          <w:color w:val="334155"/>
          <w:sz w:val="22"/>
          <w:szCs w:val="22"/>
        </w:rPr>
        <w:t xml:space="preserve">the first-boot wizard prompts the admin to distribute the 5 shares before proceeding. Recommended distribution: Share 1 to on-site admin, Share 2 to organisation IT head, Share 3 to vendor escrow (uploaded via vendor portal), Share 4 to a sealed physical envelope in the organisation's secure storage, Share 5 to a secondary off-site contact.</w:t>
      </w:r>
    </w:p>
    <w:p>
      <w:pPr>
        <w:pStyle w:val="ListParagraph"/>
        <w:numPr>
          <w:ilvl w:val="0"/>
          <w:numId w:val="3"/>
        </w:numPr>
        <w:spacing w:before="40" w:after="40"/>
      </w:pPr>
      <w:r>
        <w:rPr>
          <w:rFonts w:ascii="Arial" w:cs="Arial" w:eastAsia="Arial" w:hAnsi="Arial"/>
          <w:b/>
          <w:bCs/>
          <w:color w:val="1E293B"/>
          <w:sz w:val="22"/>
          <w:szCs w:val="22"/>
        </w:rPr>
        <w:t xml:space="preserve">Recovery procedure: </w:t>
      </w:r>
      <w:r>
        <w:rPr>
          <w:rFonts w:ascii="Arial" w:cs="Arial" w:eastAsia="Arial" w:hAnsi="Arial"/>
          <w:color w:val="334155"/>
          <w:sz w:val="22"/>
          <w:szCs w:val="22"/>
        </w:rPr>
        <w:t xml:space="preserve">if the appliance must be rebuilt and backups restored, the admin gathers any 3 of the 5 shares and runs the dm-restore.sh recovery tool. It reconstructs the master secret, decrypts the backup archive, and restores the PostgreSQL database.</w:t>
      </w:r>
    </w:p>
    <w:p>
      <w:pPr>
        <w:pStyle w:val="ListParagraph"/>
        <w:numPr>
          <w:ilvl w:val="0"/>
          <w:numId w:val="3"/>
        </w:numPr>
        <w:spacing w:before="40" w:after="40"/>
      </w:pPr>
      <w:r>
        <w:rPr>
          <w:rFonts w:ascii="Arial" w:cs="Arial" w:eastAsia="Arial" w:hAnsi="Arial"/>
          <w:b/>
          <w:bCs/>
          <w:color w:val="1E293B"/>
          <w:sz w:val="22"/>
          <w:szCs w:val="22"/>
        </w:rPr>
        <w:t xml:space="preserve">Vendor escrow share: </w:t>
      </w:r>
      <w:r>
        <w:rPr>
          <w:rFonts w:ascii="Arial" w:cs="Arial" w:eastAsia="Arial" w:hAnsi="Arial"/>
          <w:color w:val="334155"/>
          <w:sz w:val="22"/>
          <w:szCs w:val="22"/>
        </w:rPr>
        <w:t xml:space="preserve">Share 3 is optionally escrowed with the vendor via the activation portal. The vendor stores it encrypted at rest and only releases it to the registered agreement holder upon identity verification. This is the last-resort recovery path if the on-site copies are lost.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EE2E2"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EE2E2" w:val="clear"/>
            <w:tcMar>
              <w:top w:type="dxa" w:w="120"/>
              <w:left w:type="dxa" w:w="120"/>
              <w:bottom w:type="dxa" w:w="120"/>
              <w:right w:type="dxa" w:w="180"/>
            </w:tcMar>
          </w:tcPr>
          <w:p>
            <w:r>
              <w:rPr>
                <w:rFonts w:ascii="Arial" w:cs="Arial" w:eastAsia="Arial" w:hAnsi="Arial"/>
                <w:i/>
                <w:iCs/>
                <w:color w:val="1E293B"/>
                <w:sz w:val="20"/>
                <w:szCs w:val="20"/>
              </w:rPr>
              <w:t xml:space="preserve">The vendor escrow share is strictly optional. Customers with data sovereignty requirements (e.g., government data that cannot leave national jurisdiction) can decline vendor escrow and manage all 5 shares internally. In that case, the vendor cannot assist with key recovery — this must be clearly communicated at time of sale.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5 — ARM64 LOW-COST DEPLOYMENT PATH</w:t>
            </w:r>
          </w:p>
          <w:p>
            <w:r>
              <w:rPr>
                <w:rFonts w:ascii="Arial" w:cs="Arial" w:eastAsia="Arial" w:hAnsi="Arial"/>
                <w:color w:val="94A3B8"/>
                <w:sz w:val="18"/>
                <w:szCs w:val="18"/>
              </w:rPr>
              <w:t xml:space="preserve">Raspberry Pi 5 and Jetson Orin variants for budget-constrained sites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ARM64 Low-Cost Deployment Path</w:t>
      </w:r>
    </w:p>
    <w:p>
      <w:pPr>
        <w:spacing w:before="60" w:after="100"/>
      </w:pPr>
      <w:r>
        <w:rPr>
          <w:rFonts w:ascii="Arial" w:cs="Arial" w:eastAsia="Arial" w:hAnsi="Arial"/>
          <w:color w:val="334155"/>
          <w:sz w:val="22"/>
          <w:szCs w:val="22"/>
        </w:rPr>
        <w:t xml:space="preserve">One of the most important target market realities is that not every deployment site has the budget, power supply, or physical space for a full x86_64 server. A rural clinic in West Africa, a land registry sub-office in a CARICOM island, or an NGO field station may have $200–$400 available for hardware — not $1,500. The ARM64 deployment path exists to serve these sites.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5.1 Supported ARM64 Hardware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1200"/>
        <w:gridCol w:w="1000"/>
        <w:gridCol w:w="1400"/>
        <w:gridCol w:w="15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Device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CPU</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RAM</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Storage</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GPU</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Est. Hardware Cost</w:t>
            </w:r>
          </w:p>
        </w:tc>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Deployment Class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Raspberry Pi 5 (8GB)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 Cortex-A76 quad-core 2.4GHz</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8GB LPDDR4X</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NVMe via HAT (up to 2TB)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 (CPU inference)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$80–$120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Ultra-budget: rural clinic, sub-office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Raspberry Pi 5 (8GB) + AI HAT+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ARM Cortex-A76 + Hailo-8 NPU 26 TOPS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8GB LPDDR4X</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NVMe via HAT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Hailo-8 NPU</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$160–$200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Budget with accelerated inference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NVIDIA Jetson Orin NX 16GB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 Cortex-A78AE 8-core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16GB LPDDR5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NVMe SSD 512GB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1024-core Ampere GPU 40 TOPS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$500–$650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Mid-tier: district office, moderate volume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NVIDIA Jetson AGX Orin 64GB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ARM Cortex-A78AE 12-core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64GB LPDDR5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NVMe SSD 1TB</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2048-core Ampere GPU 275 TOPS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$1,100–$1,300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High-performance ARM: comparable to x86 mid-tier</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5.2 ARM64 Model Quantization Strategy</w:t>
      </w:r>
    </w:p>
    <w:p>
      <w:pPr>
        <w:spacing w:before="60" w:after="100"/>
      </w:pPr>
      <w:r>
        <w:rPr>
          <w:rFonts w:ascii="Arial" w:cs="Arial" w:eastAsia="Arial" w:hAnsi="Arial"/>
          <w:color w:val="334155"/>
          <w:sz w:val="22"/>
          <w:szCs w:val="22"/>
        </w:rPr>
        <w:t xml:space="preserve">The LLM inference component (Ollama + llama3.1:8b) is the most resource-intensive part of DocMaster. On x86_64 with a GPU, inference latency is 300–400ms per extraction pass. On ARM64 hardware without a discrete GPU, inference must be handled differently depending on the available compute.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800"/>
        <w:gridCol w:w="23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Hardware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LLM Model</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Quantization</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Expected Inference Latency</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RPi 5 (8GB) — CPU only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llama3.2:3b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Q4_K_M (2.0GB)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8–15 seconds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Acceptable for low-volume sites. 3b model has lower extraction accuracy — compensated by extra validation pass.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RPi 5 + Hailo-8 NPU</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llama3.2:3b</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Q4_K_M (2.0GB)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3–6 seconds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NPU offloads token generation. Significant improvement over CPU-only RPi 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Jetson Orin NX 16GB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llama3.1:8b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Q4_K_M (4.7GB)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2–4 seconds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8b model fits in unified memory. Performance close to x86 CPU-only.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Jetson AGX Orin 64GB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llama3.1:8b</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Q8_0 (8.7GB)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 seconds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High-quality quantization. Near-GPU x86 performance. Suitable for high-volume sites.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x86_64 CPU-only (reference)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llama3.1:8b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Q4_K_M (4.7GB)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4–8 seconds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Reference baseline for comparison.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x86_64 + RTX 4090 (reference)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llama3.1:8b</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Q8_0 (8.7GB)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300–500ms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Maximum performance reference.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For Raspberry Pi 5 deployments, the 3b model's lower extraction accuracy is compensated at the software level: the dm-flux OCR worker is configured to run a second validation pass on any extraction with confidence below 90%, comparing Tesseract and PaddleOCR outputs before committing the result. This adds processing time but maintains acceptable data quality.</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5.3 ARM64 Build Variants</w:t>
      </w:r>
    </w:p>
    <w:p>
      <w:pPr>
        <w:spacing w:before="60" w:after="100"/>
      </w:pPr>
      <w:r>
        <w:rPr>
          <w:rFonts w:ascii="Arial" w:cs="Arial" w:eastAsia="Arial" w:hAnsi="Arial"/>
          <w:color w:val="334155"/>
          <w:sz w:val="22"/>
          <w:szCs w:val="22"/>
        </w:rPr>
        <w:t xml:space="preserve">The ARM64 deployment ships as a separate installer. The ISO image for ARM64 is built from the same Packer configuration as the x86_64 ISO, with the following differences:</w:t>
      </w:r>
    </w:p>
    <w:p>
      <w:pPr>
        <w:spacing w:before="0" w:after="6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Base OS: </w:t>
      </w:r>
      <w:r>
        <w:rPr>
          <w:rFonts w:ascii="Arial" w:cs="Arial" w:eastAsia="Arial" w:hAnsi="Arial"/>
          <w:color w:val="334155"/>
          <w:sz w:val="22"/>
          <w:szCs w:val="22"/>
        </w:rPr>
        <w:t xml:space="preserve">Ubuntu 24.04 LTS for ARM64 (Raspberry Pi OS is not supported — too limited for production use).</w:t>
      </w:r>
    </w:p>
    <w:p>
      <w:pPr>
        <w:pStyle w:val="ListParagraph"/>
        <w:numPr>
          <w:ilvl w:val="0"/>
          <w:numId w:val="2"/>
        </w:numPr>
        <w:spacing w:before="40" w:after="40"/>
      </w:pPr>
      <w:r>
        <w:rPr>
          <w:rFonts w:ascii="Arial" w:cs="Arial" w:eastAsia="Arial" w:hAnsi="Arial"/>
          <w:b/>
          <w:bCs/>
          <w:color w:val="1E293B"/>
          <w:sz w:val="22"/>
          <w:szCs w:val="22"/>
        </w:rPr>
        <w:t xml:space="preserve">Ollama binary: </w:t>
      </w:r>
      <w:r>
        <w:rPr>
          <w:rFonts w:ascii="Arial" w:cs="Arial" w:eastAsia="Arial" w:hAnsi="Arial"/>
          <w:color w:val="334155"/>
          <w:sz w:val="22"/>
          <w:szCs w:val="22"/>
        </w:rPr>
        <w:t xml:space="preserve">ARM64 build of Ollama (arm64 architecture). Pre-pulled models are the ARM64-optimised GGUF variants.</w:t>
      </w:r>
    </w:p>
    <w:p>
      <w:pPr>
        <w:pStyle w:val="ListParagraph"/>
        <w:numPr>
          <w:ilvl w:val="0"/>
          <w:numId w:val="2"/>
        </w:numPr>
        <w:spacing w:before="40" w:after="40"/>
      </w:pPr>
      <w:r>
        <w:rPr>
          <w:rFonts w:ascii="Arial" w:cs="Arial" w:eastAsia="Arial" w:hAnsi="Arial"/>
          <w:b/>
          <w:bCs/>
          <w:color w:val="1E293B"/>
          <w:sz w:val="22"/>
          <w:szCs w:val="22"/>
        </w:rPr>
        <w:t xml:space="preserve">Default model: </w:t>
      </w:r>
      <w:r>
        <w:rPr>
          <w:rFonts w:ascii="Arial" w:cs="Arial" w:eastAsia="Arial" w:hAnsi="Arial"/>
          <w:color w:val="334155"/>
          <w:sz w:val="22"/>
          <w:szCs w:val="22"/>
        </w:rPr>
        <w:t xml:space="preserve">llama3.2:3b-q4 for RPi 5 deployments; llama3.1:8b-q4 for Jetson deployments. Automatically selected by the installer based on detected hardware.</w:t>
      </w:r>
    </w:p>
    <w:p>
      <w:pPr>
        <w:pStyle w:val="ListParagraph"/>
        <w:numPr>
          <w:ilvl w:val="0"/>
          <w:numId w:val="2"/>
        </w:numPr>
        <w:spacing w:before="40" w:after="40"/>
      </w:pPr>
      <w:r>
        <w:rPr>
          <w:rFonts w:ascii="Arial" w:cs="Arial" w:eastAsia="Arial" w:hAnsi="Arial"/>
          <w:b/>
          <w:bCs/>
          <w:color w:val="1E293B"/>
          <w:sz w:val="22"/>
          <w:szCs w:val="22"/>
        </w:rPr>
        <w:t xml:space="preserve">CUDA / NPU drivers: </w:t>
      </w:r>
      <w:r>
        <w:rPr>
          <w:rFonts w:ascii="Arial" w:cs="Arial" w:eastAsia="Arial" w:hAnsi="Arial"/>
          <w:color w:val="334155"/>
          <w:sz w:val="22"/>
          <w:szCs w:val="22"/>
        </w:rPr>
        <w:t xml:space="preserve">Jetson variants include NVIDIA JetPack SDK components. RPi 5 + Hailo HAT includes the Hailo runtime SDK. CPU-only RPi 5 requires no additional drivers.</w:t>
      </w:r>
    </w:p>
    <w:p>
      <w:pPr>
        <w:pStyle w:val="ListParagraph"/>
        <w:numPr>
          <w:ilvl w:val="0"/>
          <w:numId w:val="2"/>
        </w:numPr>
        <w:spacing w:before="40" w:after="40"/>
      </w:pPr>
      <w:r>
        <w:rPr>
          <w:rFonts w:ascii="Arial" w:cs="Arial" w:eastAsia="Arial" w:hAnsi="Arial"/>
          <w:b/>
          <w:bCs/>
          <w:color w:val="1E293B"/>
          <w:sz w:val="22"/>
          <w:szCs w:val="22"/>
        </w:rPr>
        <w:t xml:space="preserve">dm.env flag: </w:t>
      </w:r>
      <w:r>
        <w:rPr>
          <w:rFonts w:ascii="Arial" w:cs="Arial" w:eastAsia="Arial" w:hAnsi="Arial"/>
          <w:color w:val="334155"/>
          <w:sz w:val="22"/>
          <w:szCs w:val="22"/>
        </w:rPr>
        <w:t xml:space="preserve">DM_HARDWARE_PROFILE=arm64_rpi5, arm64_jetson_nx, or arm64_jetson_agx. Controls model selection, inference timeout values, and queue worker thread counts.</w:t>
      </w:r>
    </w:p>
    <w:p>
      <w:pPr>
        <w:pStyle w:val="ListParagraph"/>
        <w:numPr>
          <w:ilvl w:val="0"/>
          <w:numId w:val="2"/>
        </w:numPr>
        <w:spacing w:before="40" w:after="40"/>
      </w:pPr>
      <w:r>
        <w:rPr>
          <w:rFonts w:ascii="Arial" w:cs="Arial" w:eastAsia="Arial" w:hAnsi="Arial"/>
          <w:b/>
          <w:bCs/>
          <w:color w:val="1E293B"/>
          <w:sz w:val="22"/>
          <w:szCs w:val="22"/>
        </w:rPr>
        <w:t xml:space="preserve">Power management: </w:t>
      </w:r>
      <w:r>
        <w:rPr>
          <w:rFonts w:ascii="Arial" w:cs="Arial" w:eastAsia="Arial" w:hAnsi="Arial"/>
          <w:color w:val="334155"/>
          <w:sz w:val="22"/>
          <w:szCs w:val="22"/>
        </w:rPr>
        <w:t xml:space="preserve">ARM64 installer configures automatic CPU governor (ondemand) and sets Ollama to unload models after 10 minutes of inactivity to reduce idle power draw — critical for sites on generator or solar power.</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5.4 ARM64 Volume &amp; Performance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17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Device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Max Daily Documents</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Recommended Use Case</w:t>
            </w:r>
          </w:p>
        </w:tc>
        <w:tc>
          <w:tcPr>
            <w:tcW w:type="dxa" w:w="1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Power Draw (idle/load)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RPi 5 CPU-only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50–100 docs/day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Rural clinic records, sub-office with occasional scanning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 / 12W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RPi 5 + Hailo NPU</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150–250 docs/day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field office, small NGO digitization project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7W / 18W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Jetson Orin NX 16GB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400–700 docs/day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District-level office, moderate government archive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10W / 25W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Jetson AGX Orin 64GB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1,000–2,000 docs/day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Regional hub, high-volume archive digitization project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15W / 60W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x86_64 + RTX 4090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5,000+ docs/day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National registry, large institution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150W / 400W</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6 — MULTI-LANGUAGE OCR VALIDATION</w:t>
            </w:r>
          </w:p>
          <w:p>
            <w:r>
              <w:rPr>
                <w:rFonts w:ascii="Arial" w:cs="Arial" w:eastAsia="Arial" w:hAnsi="Arial"/>
                <w:color w:val="94A3B8"/>
                <w:sz w:val="18"/>
                <w:szCs w:val="18"/>
              </w:rPr>
              <w:t xml:space="preserve">Target-market language coverage, fine-tuning process, and accuracy benchmarks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Multi-Language OCR Validation</w:t>
      </w:r>
    </w:p>
    <w:p>
      <w:pPr>
        <w:spacing w:before="60" w:after="100"/>
      </w:pPr>
      <w:r>
        <w:rPr>
          <w:rFonts w:ascii="Arial" w:cs="Arial" w:eastAsia="Arial" w:hAnsi="Arial"/>
          <w:color w:val="334155"/>
          <w:sz w:val="22"/>
          <w:szCs w:val="22"/>
        </w:rPr>
        <w:t xml:space="preserve">DocMaster's target markets — the Caribbean, West Africa, South Asia, and Southeast Asia — produce documents in a wide range of languages and scripts. English is common but not universal. Many of the most important archival documents (land deeds from colonial periods, hospital records, legal instruments) are in French, Spanish, Portuguese, Arabic, Hindi, or local creole scripts. An OCR engine that performs well only on English is not fit for this market.</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6.1 Language Priority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800"/>
        <w:gridCol w:w="1500"/>
        <w:gridCol w:w="1600"/>
        <w:gridCol w:w="10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Language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Primary Market</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OCR Engine</w:t>
            </w:r>
          </w:p>
        </w:tc>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Out-of-Box Accuracy (printed)</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Accuracy (handwritten/aged)</w:t>
            </w:r>
          </w:p>
        </w:tc>
        <w:tc>
          <w:tcPr>
            <w:tcW w:type="dxa" w:w="1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Fine-Tuning Required?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English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markets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Tesseract + PaddleOCR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97–99%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75–85%</w:t>
            </w:r>
          </w:p>
        </w:tc>
        <w:tc>
          <w:tcPr>
            <w:tcW w:type="dxa" w:w="1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already strong</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French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Latin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West Africa, OECS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Tesseract + PaddleOCR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94–97%</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65–78%</w:t>
            </w:r>
          </w:p>
        </w:tc>
        <w:tc>
          <w:tcPr>
            <w:tcW w:type="dxa" w:w="1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Recommended for aged docs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Spanish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Caribbean, Central 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Tesseract + PaddleOCR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94–97%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65–78%</w:t>
            </w:r>
          </w:p>
        </w:tc>
        <w:tc>
          <w:tcPr>
            <w:tcW w:type="dxa" w:w="1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Recommended for aged docs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Portuguese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Latin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West Africa, Brazil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Tesseract + PaddleOCR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93–96%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62–76%</w:t>
            </w:r>
          </w:p>
        </w:tc>
        <w:tc>
          <w:tcPr>
            <w:tcW w:type="dxa" w:w="1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Recommended for aged docs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Arabic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Arabic RTL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MENA, North Africa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Kraken + PaddleOCR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88–94%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55–70%</w:t>
            </w:r>
          </w:p>
        </w:tc>
        <w:tc>
          <w:tcPr>
            <w:tcW w:type="dxa" w:w="1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 — required for historical docs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Hindi (Devanagari)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Devanagari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South Asia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Tesseract + PaddleOCR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87–93%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52–68%</w:t>
            </w:r>
          </w:p>
        </w:tc>
        <w:tc>
          <w:tcPr>
            <w:tcW w:type="dxa" w:w="1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Yes — required for handwritten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Haitian Creole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Haiti, diaspora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Tesseract (French base)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90–94%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60–72%</w:t>
            </w:r>
          </w:p>
        </w:tc>
        <w:tc>
          <w:tcPr>
            <w:tcW w:type="dxa" w:w="1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Recommended — limited training data</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Swahili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Latin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East Africa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Tesseract + PaddleOCR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93–96%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64–76%</w:t>
            </w:r>
          </w:p>
        </w:tc>
        <w:tc>
          <w:tcPr>
            <w:tcW w:type="dxa" w:w="1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Low priority — Latin script performs well</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6.2 Language Pack Architecture</w:t>
      </w:r>
    </w:p>
    <w:p>
      <w:pPr>
        <w:spacing w:before="60" w:after="100"/>
      </w:pPr>
      <w:r>
        <w:rPr>
          <w:rFonts w:ascii="Arial" w:cs="Arial" w:eastAsia="Arial" w:hAnsi="Arial"/>
          <w:color w:val="334155"/>
          <w:sz w:val="22"/>
          <w:szCs w:val="22"/>
        </w:rPr>
        <w:t xml:space="preserve">DocMaster ships language support as modular Language Packs that can be downloaded and installed through the Settings → OCR Engines interface. A Language Pack contains: the appropriate Tesseract trained data file (.traineddata), the relevant Kraken model for that script, any PaddleOCR language-specific models, and a set of document-type JSON schemas with language-specific field name mappings.</w:t>
      </w:r>
    </w:p>
    <w:p>
      <w:pPr>
        <w:spacing w:before="0" w:after="8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Default install: </w:t>
      </w:r>
      <w:r>
        <w:rPr>
          <w:rFonts w:ascii="Arial" w:cs="Arial" w:eastAsia="Arial" w:hAnsi="Arial"/>
          <w:color w:val="334155"/>
          <w:sz w:val="22"/>
          <w:szCs w:val="22"/>
        </w:rPr>
        <w:t xml:space="preserve">English Language Pack only. Keeps the base appliance image small (~8GB for x86_64).</w:t>
      </w:r>
    </w:p>
    <w:p>
      <w:pPr>
        <w:pStyle w:val="ListParagraph"/>
        <w:numPr>
          <w:ilvl w:val="0"/>
          <w:numId w:val="2"/>
        </w:numPr>
        <w:spacing w:before="40" w:after="40"/>
      </w:pPr>
      <w:r>
        <w:rPr>
          <w:rFonts w:ascii="Arial" w:cs="Arial" w:eastAsia="Arial" w:hAnsi="Arial"/>
          <w:b/>
          <w:bCs/>
          <w:color w:val="1E293B"/>
          <w:sz w:val="22"/>
          <w:szCs w:val="22"/>
        </w:rPr>
        <w:t xml:space="preserve">Installation: </w:t>
      </w:r>
      <w:r>
        <w:rPr>
          <w:rFonts w:ascii="Arial" w:cs="Arial" w:eastAsia="Arial" w:hAnsi="Arial"/>
          <w:color w:val="334155"/>
          <w:sz w:val="22"/>
          <w:szCs w:val="22"/>
        </w:rPr>
        <w:t xml:space="preserve">Language Packs are distributed as signed .dmpack files. On internet-connected deployments, they are downloadable from the vendor portal. For air-gapped deployments, they are distributed on USB alongside the base ISO.</w:t>
      </w:r>
    </w:p>
    <w:p>
      <w:pPr>
        <w:pStyle w:val="ListParagraph"/>
        <w:numPr>
          <w:ilvl w:val="0"/>
          <w:numId w:val="2"/>
        </w:numPr>
        <w:spacing w:before="40" w:after="40"/>
      </w:pPr>
      <w:r>
        <w:rPr>
          <w:rFonts w:ascii="Arial" w:cs="Arial" w:eastAsia="Arial" w:hAnsi="Arial"/>
          <w:b/>
          <w:bCs/>
          <w:color w:val="1E293B"/>
          <w:sz w:val="22"/>
          <w:szCs w:val="22"/>
        </w:rPr>
        <w:t xml:space="preserve">Pack size: </w:t>
      </w:r>
      <w:r>
        <w:rPr>
          <w:rFonts w:ascii="Arial" w:cs="Arial" w:eastAsia="Arial" w:hAnsi="Arial"/>
          <w:color w:val="334155"/>
          <w:sz w:val="22"/>
          <w:szCs w:val="22"/>
        </w:rPr>
        <w:t xml:space="preserve">Latin script packs (French, Spanish, Portuguese, Haitian Creole, Swahili) are 150–300MB each. Arabic and Devanagari packs are 400–600MB each due to more complex model requirements.</w:t>
      </w:r>
    </w:p>
    <w:p>
      <w:pPr>
        <w:pStyle w:val="ListParagraph"/>
        <w:numPr>
          <w:ilvl w:val="0"/>
          <w:numId w:val="2"/>
        </w:numPr>
        <w:spacing w:before="40" w:after="40"/>
      </w:pPr>
      <w:r>
        <w:rPr>
          <w:rFonts w:ascii="Arial" w:cs="Arial" w:eastAsia="Arial" w:hAnsi="Arial"/>
          <w:b/>
          <w:bCs/>
          <w:color w:val="1E293B"/>
          <w:sz w:val="22"/>
          <w:szCs w:val="22"/>
        </w:rPr>
        <w:t xml:space="preserve">Stack configuration: </w:t>
      </w:r>
      <w:r>
        <w:rPr>
          <w:rFonts w:ascii="Arial" w:cs="Arial" w:eastAsia="Arial" w:hAnsi="Arial"/>
          <w:color w:val="334155"/>
          <w:sz w:val="22"/>
          <w:szCs w:val="22"/>
        </w:rPr>
        <w:t xml:space="preserve">after installing a Language Pack, the operator configures which language to use per document source. Example: 'Email ingest from address accounts@ministere.gov → French'. The dm-flux worker applies the correct OCR language config per ingestion channel.</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6.3 Kraken Fine-Tuning Process for Historical Documents</w:t>
      </w:r>
    </w:p>
    <w:p>
      <w:pPr>
        <w:spacing w:before="60" w:after="100"/>
      </w:pPr>
      <w:r>
        <w:rPr>
          <w:rFonts w:ascii="Arial" w:cs="Arial" w:eastAsia="Arial" w:hAnsi="Arial"/>
          <w:color w:val="334155"/>
          <w:sz w:val="22"/>
          <w:szCs w:val="22"/>
        </w:rPr>
        <w:t xml:space="preserve">For Arabic and Devanagari historical/handwritten documents, out-of-box accuracy is insufficient for archival-quality extraction. Kraken supports training new models from ground truth data using a standard fine-tuning workflow. This section defines the process a vendor deployment engineer follows when a customer has significant historical document archives in these scripts.</w:t>
      </w:r>
    </w:p>
    <w:p>
      <w:pPr>
        <w:spacing w:before="0" w:after="80"/>
      </w:pPr>
      <w:r>
        <w:t xml:space="preserve"/>
      </w:r>
    </w:p>
    <w:p>
      <w:pPr>
        <w:pStyle w:val="ListParagraph"/>
        <w:numPr>
          <w:ilvl w:val="0"/>
          <w:numId w:val="3"/>
        </w:numPr>
        <w:spacing w:before="40" w:after="40"/>
      </w:pPr>
      <w:r>
        <w:rPr>
          <w:rFonts w:ascii="Arial" w:cs="Arial" w:eastAsia="Arial" w:hAnsi="Arial"/>
          <w:b/>
          <w:bCs/>
          <w:color w:val="1E293B"/>
          <w:sz w:val="22"/>
          <w:szCs w:val="22"/>
        </w:rPr>
        <w:t xml:space="preserve">Ground truth collection: </w:t>
      </w:r>
      <w:r>
        <w:rPr>
          <w:rFonts w:ascii="Arial" w:cs="Arial" w:eastAsia="Arial" w:hAnsi="Arial"/>
          <w:color w:val="334155"/>
          <w:sz w:val="22"/>
          <w:szCs w:val="22"/>
        </w:rPr>
        <w:t xml:space="preserve">collect 50–200 representative document images from the customer's archive. These should represent the range of document age, condition, handwriting styles, and ink quality present in the collection.</w:t>
      </w:r>
    </w:p>
    <w:p>
      <w:pPr>
        <w:pStyle w:val="ListParagraph"/>
        <w:numPr>
          <w:ilvl w:val="0"/>
          <w:numId w:val="3"/>
        </w:numPr>
        <w:spacing w:before="40" w:after="40"/>
      </w:pPr>
      <w:r>
        <w:rPr>
          <w:rFonts w:ascii="Arial" w:cs="Arial" w:eastAsia="Arial" w:hAnsi="Arial"/>
          <w:b/>
          <w:bCs/>
          <w:color w:val="1E293B"/>
          <w:sz w:val="22"/>
          <w:szCs w:val="22"/>
        </w:rPr>
        <w:t xml:space="preserve">Segmentation: </w:t>
      </w:r>
      <w:r>
        <w:rPr>
          <w:rFonts w:ascii="Arial" w:cs="Arial" w:eastAsia="Arial" w:hAnsi="Arial"/>
          <w:color w:val="334155"/>
          <w:sz w:val="22"/>
          <w:szCs w:val="22"/>
        </w:rPr>
        <w:t xml:space="preserve">use Kraken's built-in segmentation tool to generate line-level XML ground truth files from the sample images. An operator familiar with the script reviews and corrects the segmentation.</w:t>
      </w:r>
    </w:p>
    <w:p>
      <w:pPr>
        <w:pStyle w:val="ListParagraph"/>
        <w:numPr>
          <w:ilvl w:val="0"/>
          <w:numId w:val="3"/>
        </w:numPr>
        <w:spacing w:before="40" w:after="40"/>
      </w:pPr>
      <w:r>
        <w:rPr>
          <w:rFonts w:ascii="Arial" w:cs="Arial" w:eastAsia="Arial" w:hAnsi="Arial"/>
          <w:b/>
          <w:bCs/>
          <w:color w:val="1E293B"/>
          <w:sz w:val="22"/>
          <w:szCs w:val="22"/>
        </w:rPr>
        <w:t xml:space="preserve">Transcription: </w:t>
      </w:r>
      <w:r>
        <w:rPr>
          <w:rFonts w:ascii="Arial" w:cs="Arial" w:eastAsia="Arial" w:hAnsi="Arial"/>
          <w:color w:val="334155"/>
          <w:sz w:val="22"/>
          <w:szCs w:val="22"/>
        </w:rPr>
        <w:t xml:space="preserve">a native-language reader transcribes the content of each segmented line into the ground truth XML. This is the most time-consuming step — budget 2–4 hours per 100 lines.</w:t>
      </w:r>
    </w:p>
    <w:p>
      <w:pPr>
        <w:pStyle w:val="ListParagraph"/>
        <w:numPr>
          <w:ilvl w:val="0"/>
          <w:numId w:val="3"/>
        </w:numPr>
        <w:spacing w:before="40" w:after="40"/>
      </w:pPr>
      <w:r>
        <w:rPr>
          <w:rFonts w:ascii="Arial" w:cs="Arial" w:eastAsia="Arial" w:hAnsi="Arial"/>
          <w:b/>
          <w:bCs/>
          <w:color w:val="1E293B"/>
          <w:sz w:val="22"/>
          <w:szCs w:val="22"/>
        </w:rPr>
        <w:t xml:space="preserve">Fine-tuning run: </w:t>
      </w:r>
      <w:r>
        <w:rPr>
          <w:rFonts w:ascii="Arial" w:cs="Arial" w:eastAsia="Arial" w:hAnsi="Arial"/>
          <w:color w:val="334155"/>
          <w:sz w:val="22"/>
          <w:szCs w:val="22"/>
        </w:rPr>
        <w:t xml:space="preserve">run Kraken's training pipeline on the ground truth data, starting from the base model for the relevant script. Training takes 2–6 hours on a GPU-equipped build machine.</w:t>
      </w:r>
    </w:p>
    <w:p>
      <w:pPr>
        <w:pStyle w:val="ListParagraph"/>
        <w:numPr>
          <w:ilvl w:val="0"/>
          <w:numId w:val="3"/>
        </w:numPr>
        <w:spacing w:before="40" w:after="40"/>
      </w:pPr>
      <w:r>
        <w:rPr>
          <w:rFonts w:ascii="Arial" w:cs="Arial" w:eastAsia="Arial" w:hAnsi="Arial"/>
          <w:b/>
          <w:bCs/>
          <w:color w:val="1E293B"/>
          <w:sz w:val="22"/>
          <w:szCs w:val="22"/>
        </w:rPr>
        <w:t xml:space="preserve">Validation: </w:t>
      </w:r>
      <w:r>
        <w:rPr>
          <w:rFonts w:ascii="Arial" w:cs="Arial" w:eastAsia="Arial" w:hAnsi="Arial"/>
          <w:color w:val="334155"/>
          <w:sz w:val="22"/>
          <w:szCs w:val="22"/>
        </w:rPr>
        <w:t xml:space="preserve">evaluate the fine-tuned model against a held-out 20% of ground truth. Target Character Error Rate (CER) &lt;5% for printed historical, &lt;12% for handwritten.</w:t>
      </w:r>
    </w:p>
    <w:p>
      <w:pPr>
        <w:pStyle w:val="ListParagraph"/>
        <w:numPr>
          <w:ilvl w:val="0"/>
          <w:numId w:val="3"/>
        </w:numPr>
        <w:spacing w:before="40" w:after="40"/>
      </w:pPr>
      <w:r>
        <w:rPr>
          <w:rFonts w:ascii="Arial" w:cs="Arial" w:eastAsia="Arial" w:hAnsi="Arial"/>
          <w:b/>
          <w:bCs/>
          <w:color w:val="1E293B"/>
          <w:sz w:val="22"/>
          <w:szCs w:val="22"/>
        </w:rPr>
        <w:t xml:space="preserve">Packaging: </w:t>
      </w:r>
      <w:r>
        <w:rPr>
          <w:rFonts w:ascii="Arial" w:cs="Arial" w:eastAsia="Arial" w:hAnsi="Arial"/>
          <w:color w:val="334155"/>
          <w:sz w:val="22"/>
          <w:szCs w:val="22"/>
        </w:rPr>
        <w:t xml:space="preserve">package the fine-tuned model into a custom Language Pack (.dmpack) signed with the vendor key. Deploy to the customer appliance via the standard Language Pack installation 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B45309" w:sz="16"/>
              <w:bottom w:val="none" w:color="FFFFFF" w:sz="0"/>
              <w:right w:val="none" w:color="FFFFFF" w:sz="0"/>
            </w:tcBorders>
            <w:shd w:fill="FFFBEB"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FFBEB"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Fine-Tuning Service</w:t>
            </w:r>
          </w:p>
          <w:p>
            <w:pPr>
              <w:spacing w:before="0" w:after="0"/>
            </w:pPr>
            <w:r>
              <w:rPr>
                <w:rFonts w:ascii="Arial" w:cs="Arial" w:eastAsia="Arial" w:hAnsi="Arial"/>
                <w:i/>
                <w:iCs/>
                <w:color w:val="334155"/>
                <w:sz w:val="20"/>
                <w:szCs w:val="20"/>
              </w:rPr>
              <w:t xml:space="preserve">Customer-specific Kraken fine-tuning is a paid professional services engagement, not included in the standard license. Estimated effort: 2–5 business days per language/script. This is positioned as a premium onboarding service for Tier 3 and Tier 4 Enterprise customers with large historical archives.</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7 — ISO CODE SIGNING &amp; DISTRIBUTION SECURITY</w:t>
            </w:r>
          </w:p>
          <w:p>
            <w:r>
              <w:rPr>
                <w:rFonts w:ascii="Arial" w:cs="Arial" w:eastAsia="Arial" w:hAnsi="Arial"/>
                <w:color w:val="94A3B8"/>
                <w:sz w:val="18"/>
                <w:szCs w:val="18"/>
              </w:rPr>
              <w:t xml:space="preserve">Ed25519 signing, customer verification, and tamper detection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ISO Code Signing &amp; Distribution Security</w:t>
      </w:r>
    </w:p>
    <w:p>
      <w:pPr>
        <w:spacing w:before="60" w:after="100"/>
      </w:pPr>
      <w:r>
        <w:rPr>
          <w:rFonts w:ascii="Arial" w:cs="Arial" w:eastAsia="Arial" w:hAnsi="Arial"/>
          <w:color w:val="334155"/>
          <w:sz w:val="22"/>
          <w:szCs w:val="22"/>
        </w:rPr>
        <w:t xml:space="preserve">DocMaster is distributed as a bootable ISO or installer script. Customers need confidence that the file they received is authentic and has not been modified in transit or by a malicious intermediary. This is especially important in environments where files are transferred via USB drives passing through multiple hands.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7.1 Signing Infrastructure</w:t>
      </w:r>
    </w:p>
    <w:p>
      <w:pPr>
        <w:pStyle w:val="ListParagraph"/>
        <w:numPr>
          <w:ilvl w:val="0"/>
          <w:numId w:val="2"/>
        </w:numPr>
        <w:spacing w:before="40" w:after="40"/>
      </w:pPr>
      <w:r>
        <w:rPr>
          <w:rFonts w:ascii="Arial" w:cs="Arial" w:eastAsia="Arial" w:hAnsi="Arial"/>
          <w:b/>
          <w:bCs/>
          <w:color w:val="1E293B"/>
          <w:sz w:val="22"/>
          <w:szCs w:val="22"/>
        </w:rPr>
        <w:t xml:space="preserve">Vendor signing key: </w:t>
      </w:r>
      <w:r>
        <w:rPr>
          <w:rFonts w:ascii="Arial" w:cs="Arial" w:eastAsia="Arial" w:hAnsi="Arial"/>
          <w:color w:val="334155"/>
          <w:sz w:val="22"/>
          <w:szCs w:val="22"/>
        </w:rPr>
        <w:t xml:space="preserve">an Ed25519 keypair. The private key is held on an air-gapped signing workstation at the vendor. It never touches an internet-connected machine. The corresponding public key is published permanently on the vendor website and embedded in the DocMaster first-boot wizard.</w:t>
      </w:r>
    </w:p>
    <w:p>
      <w:pPr>
        <w:pStyle w:val="ListParagraph"/>
        <w:numPr>
          <w:ilvl w:val="0"/>
          <w:numId w:val="2"/>
        </w:numPr>
        <w:spacing w:before="40" w:after="40"/>
      </w:pPr>
      <w:r>
        <w:rPr>
          <w:rFonts w:ascii="Arial" w:cs="Arial" w:eastAsia="Arial" w:hAnsi="Arial"/>
          <w:b/>
          <w:bCs/>
          <w:color w:val="1E293B"/>
          <w:sz w:val="22"/>
          <w:szCs w:val="22"/>
        </w:rPr>
        <w:t xml:space="preserve">What is signed: </w:t>
      </w:r>
      <w:r>
        <w:rPr>
          <w:rFonts w:ascii="Arial" w:cs="Arial" w:eastAsia="Arial" w:hAnsi="Arial"/>
          <w:color w:val="334155"/>
          <w:sz w:val="22"/>
          <w:szCs w:val="22"/>
        </w:rPr>
        <w:t xml:space="preserve">every release artifact is signed: the ISO file, the bash installer script (dm-install.sh), every Language Pack (.dmpack), and every update bundle. The signature is a detached .sig file distributed alongside the artifact.</w:t>
      </w:r>
    </w:p>
    <w:p>
      <w:pPr>
        <w:pStyle w:val="ListParagraph"/>
        <w:numPr>
          <w:ilvl w:val="0"/>
          <w:numId w:val="2"/>
        </w:numPr>
        <w:spacing w:before="40" w:after="40"/>
      </w:pPr>
      <w:r>
        <w:rPr>
          <w:rFonts w:ascii="Arial" w:cs="Arial" w:eastAsia="Arial" w:hAnsi="Arial"/>
          <w:b/>
          <w:bCs/>
          <w:color w:val="1E293B"/>
          <w:sz w:val="22"/>
          <w:szCs w:val="22"/>
        </w:rPr>
        <w:t xml:space="preserve">Signing command: </w:t>
      </w:r>
      <w:r>
        <w:rPr>
          <w:rFonts w:ascii="Arial" w:cs="Arial" w:eastAsia="Arial" w:hAnsi="Arial"/>
          <w:color w:val="334155"/>
          <w:sz w:val="22"/>
          <w:szCs w:val="22"/>
        </w:rPr>
        <w:t xml:space="preserve">ssh-keygen -Y sign -f vendor_signing_key -n docmaster &lt;artifact&gt; producing &lt;artifact&gt;.sig</w:t>
      </w:r>
    </w:p>
    <w:p>
      <w:pPr>
        <w:pStyle w:val="ListParagraph"/>
        <w:numPr>
          <w:ilvl w:val="0"/>
          <w:numId w:val="2"/>
        </w:numPr>
        <w:spacing w:before="40" w:after="40"/>
      </w:pPr>
      <w:r>
        <w:rPr>
          <w:rFonts w:ascii="Arial" w:cs="Arial" w:eastAsia="Arial" w:hAnsi="Arial"/>
          <w:b/>
          <w:bCs/>
          <w:color w:val="1E293B"/>
          <w:sz w:val="22"/>
          <w:szCs w:val="22"/>
        </w:rPr>
        <w:t xml:space="preserve">Verification command: </w:t>
      </w:r>
      <w:r>
        <w:rPr>
          <w:rFonts w:ascii="Arial" w:cs="Arial" w:eastAsia="Arial" w:hAnsi="Arial"/>
          <w:color w:val="334155"/>
          <w:sz w:val="22"/>
          <w:szCs w:val="22"/>
        </w:rPr>
        <w:t xml:space="preserve">ssh-keygen -Y verify -f allowed_signers -I docmaster@docmaster.io -n docmaster -s &lt;artifact&gt;.sig &lt; &lt;artifact&gt;</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7.2 Customer Verification Workflow</w:t>
      </w:r>
    </w:p>
    <w:p>
      <w:pPr>
        <w:spacing w:before="60" w:after="100"/>
      </w:pPr>
      <w:r>
        <w:rPr>
          <w:rFonts w:ascii="Arial" w:cs="Arial" w:eastAsia="Arial" w:hAnsi="Arial"/>
          <w:color w:val="334155"/>
          <w:sz w:val="22"/>
          <w:szCs w:val="22"/>
        </w:rPr>
        <w:t xml:space="preserve">Customers are provided with a one-page verification guide included in the physical delivery envelope (for USB-distributed appliances) and available on the vendor website. The guide instructs:</w:t>
      </w:r>
    </w:p>
    <w:p>
      <w:pPr>
        <w:spacing w:before="0" w:after="60"/>
      </w:pPr>
      <w:r>
        <w:t xml:space="preserve"/>
      </w:r>
    </w:p>
    <w:p>
      <w:pPr>
        <w:pStyle w:val="ListParagraph"/>
        <w:numPr>
          <w:ilvl w:val="0"/>
          <w:numId w:val="3"/>
        </w:numPr>
        <w:spacing w:before="40" w:after="40"/>
      </w:pPr>
      <w:r>
        <w:rPr>
          <w:rFonts w:ascii="Arial" w:cs="Arial" w:eastAsia="Arial" w:hAnsi="Arial"/>
          <w:b/>
          <w:bCs/>
          <w:color w:val="1E293B"/>
          <w:sz w:val="22"/>
          <w:szCs w:val="22"/>
        </w:rPr>
        <w:t xml:space="preserve">Download the vendor public key: </w:t>
      </w:r>
      <w:r>
        <w:rPr>
          <w:rFonts w:ascii="Arial" w:cs="Arial" w:eastAsia="Arial" w:hAnsi="Arial"/>
          <w:color w:val="334155"/>
          <w:sz w:val="22"/>
          <w:szCs w:val="22"/>
        </w:rPr>
        <w:t xml:space="preserve">from the vendor website. This is a 68-byte text file. Verify its SHA256 hash against the value printed in the delivery documentation.</w:t>
      </w:r>
    </w:p>
    <w:p>
      <w:pPr>
        <w:pStyle w:val="ListParagraph"/>
        <w:numPr>
          <w:ilvl w:val="0"/>
          <w:numId w:val="3"/>
        </w:numPr>
        <w:spacing w:before="40" w:after="40"/>
      </w:pPr>
      <w:r>
        <w:rPr>
          <w:rFonts w:ascii="Arial" w:cs="Arial" w:eastAsia="Arial" w:hAnsi="Arial"/>
          <w:b/>
          <w:bCs/>
          <w:color w:val="1E293B"/>
          <w:sz w:val="22"/>
          <w:szCs w:val="22"/>
        </w:rPr>
        <w:t xml:space="preserve">Verify the ISO or installer: </w:t>
      </w:r>
      <w:r>
        <w:rPr>
          <w:rFonts w:ascii="Arial" w:cs="Arial" w:eastAsia="Arial" w:hAnsi="Arial"/>
          <w:color w:val="334155"/>
          <w:sz w:val="22"/>
          <w:szCs w:val="22"/>
        </w:rPr>
        <w:t xml:space="preserve">using the verification command above. The output should read: Good docmaster signature for the artifact file. Any other output means the file has been modified and should not be used.</w:t>
      </w:r>
    </w:p>
    <w:p>
      <w:pPr>
        <w:pStyle w:val="ListParagraph"/>
        <w:numPr>
          <w:ilvl w:val="0"/>
          <w:numId w:val="3"/>
        </w:numPr>
        <w:spacing w:before="40" w:after="40"/>
      </w:pPr>
      <w:r>
        <w:rPr>
          <w:rFonts w:ascii="Arial" w:cs="Arial" w:eastAsia="Arial" w:hAnsi="Arial"/>
          <w:b/>
          <w:bCs/>
          <w:color w:val="1E293B"/>
          <w:sz w:val="22"/>
          <w:szCs w:val="22"/>
        </w:rPr>
        <w:t xml:space="preserve">DocMaster first-boot wizard verification: </w:t>
      </w:r>
      <w:r>
        <w:rPr>
          <w:rFonts w:ascii="Arial" w:cs="Arial" w:eastAsia="Arial" w:hAnsi="Arial"/>
          <w:color w:val="334155"/>
          <w:sz w:val="22"/>
          <w:szCs w:val="22"/>
        </w:rPr>
        <w:t xml:space="preserve">the first-boot wizard itself displays the SHA256 hash of the running system's /opt/docmaster/bin/ directory. Customers can compare this hash against the published release manifest to confirm the installation is intact.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ℹ</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For non-technical customers, the first-boot wizard also includes a one-click 'Verify Installation Integrity' button that runs the SHA256 verification internally and displays a pass/fail result. The technical verification commands above are for IT staff and security-conscious institutional customers.</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8 — VENDOR OPERATIONS PLAYBOOK</w:t>
            </w:r>
          </w:p>
          <w:p>
            <w:r>
              <w:rPr>
                <w:rFonts w:ascii="Arial" w:cs="Arial" w:eastAsia="Arial" w:hAnsi="Arial"/>
                <w:color w:val="94A3B8"/>
                <w:sz w:val="18"/>
                <w:szCs w:val="18"/>
              </w:rPr>
              <w:t xml:space="preserve">How to support, update, and manage deployed appliances in the field</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Vendor Operations Playbook</w:t>
      </w:r>
    </w:p>
    <w:p>
      <w:pPr>
        <w:spacing w:before="60" w:after="100"/>
      </w:pPr>
      <w:r>
        <w:rPr>
          <w:rFonts w:ascii="Arial" w:cs="Arial" w:eastAsia="Arial" w:hAnsi="Arial"/>
          <w:color w:val="334155"/>
          <w:sz w:val="22"/>
          <w:szCs w:val="22"/>
        </w:rPr>
        <w:t xml:space="preserve">Once DocMaster is deployed at a customer site, the vendor enters a new operational mode: field support. The customer cannot SSH into their own appliance from the vendor's office (it is air-gapped). The vendor cannot push updates automatically. Every interaction requires a deliberate, pre-planned mechanism. This section defines those mechanisms.</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8.1 Update Distribution Model</w:t>
      </w:r>
    </w:p>
    <w:p>
      <w:pPr>
        <w:spacing w:before="60" w:after="100"/>
      </w:pPr>
      <w:r>
        <w:rPr>
          <w:rFonts w:ascii="Arial" w:cs="Arial" w:eastAsia="Arial" w:hAnsi="Arial"/>
          <w:color w:val="334155"/>
          <w:sz w:val="22"/>
          <w:szCs w:val="22"/>
        </w:rPr>
        <w:t xml:space="preserve">DocMaster updates are distributed as signed update bundles — compressed archives containing new binaries, updated service files, database migrations, and a manifest. The customer's IT contact downloads the bundle from the vendor portal onto a USB drive and applies it through the DocMaster Settings → License &amp; Updates panel using the Blue/Green update mechanism defined in Phase 4.</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00"/>
        <w:gridCol w:w="20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Update Type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3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Distribution Method</w:t>
            </w:r>
          </w:p>
        </w:tc>
        <w:tc>
          <w:tcPr>
            <w:tcW w:type="dxa" w:w="2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Requires Downtime?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Security patch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As needed (typically monthly)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 portal download, USB delivery</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Blue/Green swap takes &lt;2 minutes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Minor version (1.0.x)</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Quarterly</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 portal download, USB delivery</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Blue/Green swap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Major version (1.x.0)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Annual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USB drive mailed to customer OR vendor portal download</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Blue/Green swap</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Language Pack update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Per language, as models improve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 portal download, USB delivery, or air-gap USB</w:t>
            </w:r>
          </w:p>
        </w:tc>
        <w:tc>
          <w:tcPr>
            <w:tcW w:type="dxa" w:w="2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hot-swap, no service restart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Model update (Ollama)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Semi-annual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Included in minor/major version bundles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Brief: dm-mind restart ~30s</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8.2 Remote Support Protocol</w:t>
      </w:r>
    </w:p>
    <w:p>
      <w:pPr>
        <w:spacing w:before="60" w:after="100"/>
      </w:pPr>
      <w:r>
        <w:rPr>
          <w:rFonts w:ascii="Arial" w:cs="Arial" w:eastAsia="Arial" w:hAnsi="Arial"/>
          <w:color w:val="334155"/>
          <w:sz w:val="22"/>
          <w:szCs w:val="22"/>
        </w:rPr>
        <w:t xml:space="preserve">Because the appliance is air-gapped, traditional remote support (SSH, screen share, VPN) is not available by default. The DocMaster remote support model uses an asynchronous log exchange protocol:</w:t>
      </w:r>
    </w:p>
    <w:p>
      <w:pPr>
        <w:spacing w:before="0" w:after="60"/>
      </w:pPr>
      <w:r>
        <w:t xml:space="preserve"/>
      </w:r>
    </w:p>
    <w:p>
      <w:pPr>
        <w:pStyle w:val="ListParagraph"/>
        <w:numPr>
          <w:ilvl w:val="0"/>
          <w:numId w:val="3"/>
        </w:numPr>
        <w:spacing w:before="40" w:after="40"/>
      </w:pPr>
      <w:r>
        <w:rPr>
          <w:rFonts w:ascii="Arial" w:cs="Arial" w:eastAsia="Arial" w:hAnsi="Arial"/>
          <w:b/>
          <w:bCs/>
          <w:color w:val="1E293B"/>
          <w:sz w:val="22"/>
          <w:szCs w:val="22"/>
        </w:rPr>
        <w:t xml:space="preserve">Customer generates a support bundle: </w:t>
      </w:r>
      <w:r>
        <w:rPr>
          <w:rFonts w:ascii="Arial" w:cs="Arial" w:eastAsia="Arial" w:hAnsi="Arial"/>
          <w:color w:val="334155"/>
          <w:sz w:val="22"/>
          <w:szCs w:val="22"/>
        </w:rPr>
        <w:t xml:space="preserve">from Settings → System Health → 'Generate Support Bundle'. This packages the last 7 days of logs, the current health check snapshot, installed versions, and hardware fingerprint into an encrypted .dmsupport file.</w:t>
      </w:r>
    </w:p>
    <w:p>
      <w:pPr>
        <w:pStyle w:val="ListParagraph"/>
        <w:numPr>
          <w:ilvl w:val="0"/>
          <w:numId w:val="3"/>
        </w:numPr>
        <w:spacing w:before="40" w:after="40"/>
      </w:pPr>
      <w:r>
        <w:rPr>
          <w:rFonts w:ascii="Arial" w:cs="Arial" w:eastAsia="Arial" w:hAnsi="Arial"/>
          <w:b/>
          <w:bCs/>
          <w:color w:val="1E293B"/>
          <w:sz w:val="22"/>
          <w:szCs w:val="22"/>
        </w:rPr>
        <w:t xml:space="preserve">Customer sends the bundle: </w:t>
      </w:r>
      <w:r>
        <w:rPr>
          <w:rFonts w:ascii="Arial" w:cs="Arial" w:eastAsia="Arial" w:hAnsi="Arial"/>
          <w:color w:val="334155"/>
          <w:sz w:val="22"/>
          <w:szCs w:val="22"/>
        </w:rPr>
        <w:t xml:space="preserve">the .dmsupport file is a maximum of 2MB. The customer emails it to the vendor support address or uploads it to the vendor portal support ticket.</w:t>
      </w:r>
    </w:p>
    <w:p>
      <w:pPr>
        <w:pStyle w:val="ListParagraph"/>
        <w:numPr>
          <w:ilvl w:val="0"/>
          <w:numId w:val="3"/>
        </w:numPr>
        <w:spacing w:before="40" w:after="40"/>
      </w:pPr>
      <w:r>
        <w:rPr>
          <w:rFonts w:ascii="Arial" w:cs="Arial" w:eastAsia="Arial" w:hAnsi="Arial"/>
          <w:b/>
          <w:bCs/>
          <w:color w:val="1E293B"/>
          <w:sz w:val="22"/>
          <w:szCs w:val="22"/>
        </w:rPr>
        <w:t xml:space="preserve">Vendor diagnoses: </w:t>
      </w:r>
      <w:r>
        <w:rPr>
          <w:rFonts w:ascii="Arial" w:cs="Arial" w:eastAsia="Arial" w:hAnsi="Arial"/>
          <w:color w:val="334155"/>
          <w:sz w:val="22"/>
          <w:szCs w:val="22"/>
        </w:rPr>
        <w:t xml:space="preserve">the vendor decrypts the support bundle using the vendor support key (separate from the signing key). The bundle contains no document data — only system logs and configuration.</w:t>
      </w:r>
    </w:p>
    <w:p>
      <w:pPr>
        <w:pStyle w:val="ListParagraph"/>
        <w:numPr>
          <w:ilvl w:val="0"/>
          <w:numId w:val="3"/>
        </w:numPr>
        <w:spacing w:before="40" w:after="40"/>
      </w:pPr>
      <w:r>
        <w:rPr>
          <w:rFonts w:ascii="Arial" w:cs="Arial" w:eastAsia="Arial" w:hAnsi="Arial"/>
          <w:b/>
          <w:bCs/>
          <w:color w:val="1E293B"/>
          <w:sz w:val="22"/>
          <w:szCs w:val="22"/>
        </w:rPr>
        <w:t xml:space="preserve">Vendor delivers resolution: </w:t>
      </w:r>
      <w:r>
        <w:rPr>
          <w:rFonts w:ascii="Arial" w:cs="Arial" w:eastAsia="Arial" w:hAnsi="Arial"/>
          <w:color w:val="334155"/>
          <w:sz w:val="22"/>
          <w:szCs w:val="22"/>
        </w:rPr>
        <w:t xml:space="preserve">either a configuration change file (.dmconfig) the customer applies through the UI, or a targeted patch bundle. Both are applied without touching the terminal.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0E7490" w:sz="16"/>
              <w:bottom w:val="none" w:color="FFFFFF" w:sz="0"/>
              <w:right w:val="none" w:color="FFFFFF" w:sz="0"/>
            </w:tcBorders>
            <w:shd w:fill="F0F9FF"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0F9FF"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Optional SSH Access</w:t>
            </w:r>
          </w:p>
          <w:p>
            <w:pPr>
              <w:spacing w:before="0" w:after="0"/>
            </w:pPr>
            <w:r>
              <w:rPr>
                <w:rFonts w:ascii="Arial" w:cs="Arial" w:eastAsia="Arial" w:hAnsi="Arial"/>
                <w:i/>
                <w:iCs/>
                <w:color w:val="334155"/>
                <w:sz w:val="20"/>
                <w:szCs w:val="20"/>
              </w:rPr>
              <w:t xml:space="preserve">For Tier 4 Enterprise customers who require vendor SSH access for complex issues, an optional secure tunnel service can be enabled in Settings. When activated, a one-time SSH tunnel is established from the appliance to the vendor's bastion host using the customer's outbound internet connection (if available) or a mobile hotspot. The tunnel is time-limited (4 hours) and requires dual-approval: the customer enables it from the UI, and the vendor activates it from the portal.</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8.3 Support Tiers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400"/>
        <w:gridCol w:w="15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Response Time SLA</w:t>
            </w:r>
          </w:p>
        </w:tc>
        <w:tc>
          <w:tcPr>
            <w:tcW w:type="dxa" w:w="4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Support Channels</w:t>
            </w:r>
          </w:p>
        </w:tc>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Included In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1 — Site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business days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support portal only. Async bundle-based diagnosis.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Annual license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2 — Pro Site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business days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Email + WhatsApp support. Async bundle-based diagnosis.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Annual license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3 — Multi-Site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 business days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 + WhatsApp + dedicated account contact. Async diagnosis + config delivery.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Annual license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4 — Enterprise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 business hours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Tier 3 channels + optional SSH tunnel. Annual on-site visit.</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Annual license</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8.4 Vendor Node Inventory Management</w:t>
      </w:r>
    </w:p>
    <w:p>
      <w:pPr>
        <w:spacing w:before="60" w:after="100"/>
      </w:pPr>
      <w:r>
        <w:rPr>
          <w:rFonts w:ascii="Arial" w:cs="Arial" w:eastAsia="Arial" w:hAnsi="Arial"/>
          <w:color w:val="334155"/>
          <w:sz w:val="22"/>
          <w:szCs w:val="22"/>
        </w:rPr>
        <w:t xml:space="preserve">The vendor maintains a live inventory of all deployed appliances in the vendor portal. For each deployed node, the portal tracks:</w:t>
      </w:r>
    </w:p>
    <w:p>
      <w:pPr>
        <w:spacing w:before="0" w:after="60"/>
      </w:pPr>
      <w:r>
        <w:t xml:space="preserve"/>
      </w:r>
    </w:p>
    <w:p>
      <w:pPr>
        <w:pStyle w:val="ListParagraph"/>
        <w:numPr>
          <w:ilvl w:val="0"/>
          <w:numId w:val="2"/>
        </w:numPr>
        <w:spacing w:before="40" w:after="40"/>
      </w:pPr>
      <w:r>
        <w:rPr>
          <w:rFonts w:ascii="Arial" w:cs="Arial" w:eastAsia="Arial" w:hAnsi="Arial"/>
          <w:b/>
          <w:bCs/>
          <w:color w:val="1E293B"/>
          <w:sz w:val="22"/>
          <w:szCs w:val="22"/>
        </w:rPr>
        <w:t xml:space="preserve">Node ID: </w:t>
      </w:r>
      <w:r>
        <w:rPr>
          <w:rFonts w:ascii="Arial" w:cs="Arial" w:eastAsia="Arial" w:hAnsi="Arial"/>
          <w:color w:val="334155"/>
          <w:sz w:val="22"/>
          <w:szCs w:val="22"/>
        </w:rPr>
        <w:t xml:space="preserve">the truncated hardware fingerprint used as the human-readable node identifier (e.g., DM-2026-AMBER-FALCON).</w:t>
      </w:r>
    </w:p>
    <w:p>
      <w:pPr>
        <w:pStyle w:val="ListParagraph"/>
        <w:numPr>
          <w:ilvl w:val="0"/>
          <w:numId w:val="2"/>
        </w:numPr>
        <w:spacing w:before="40" w:after="40"/>
      </w:pPr>
      <w:r>
        <w:rPr>
          <w:rFonts w:ascii="Arial" w:cs="Arial" w:eastAsia="Arial" w:hAnsi="Arial"/>
          <w:b/>
          <w:bCs/>
          <w:color w:val="1E293B"/>
          <w:sz w:val="22"/>
          <w:szCs w:val="22"/>
        </w:rPr>
        <w:t xml:space="preserve">Agreement: </w:t>
      </w:r>
      <w:r>
        <w:rPr>
          <w:rFonts w:ascii="Arial" w:cs="Arial" w:eastAsia="Arial" w:hAnsi="Arial"/>
          <w:color w:val="334155"/>
          <w:sz w:val="22"/>
          <w:szCs w:val="22"/>
        </w:rPr>
        <w:t xml:space="preserve">which customer agreement this node is associated with.</w:t>
      </w:r>
    </w:p>
    <w:p>
      <w:pPr>
        <w:pStyle w:val="ListParagraph"/>
        <w:numPr>
          <w:ilvl w:val="0"/>
          <w:numId w:val="2"/>
        </w:numPr>
        <w:spacing w:before="40" w:after="40"/>
      </w:pPr>
      <w:r>
        <w:rPr>
          <w:rFonts w:ascii="Arial" w:cs="Arial" w:eastAsia="Arial" w:hAnsi="Arial"/>
          <w:b/>
          <w:bCs/>
          <w:color w:val="1E293B"/>
          <w:sz w:val="22"/>
          <w:szCs w:val="22"/>
        </w:rPr>
        <w:t xml:space="preserve">Tier and version: </w:t>
      </w:r>
      <w:r>
        <w:rPr>
          <w:rFonts w:ascii="Arial" w:cs="Arial" w:eastAsia="Arial" w:hAnsi="Arial"/>
          <w:color w:val="334155"/>
          <w:sz w:val="22"/>
          <w:szCs w:val="22"/>
        </w:rPr>
        <w:t xml:space="preserve">current licensed tier and installed DocMaster version.</w:t>
      </w:r>
    </w:p>
    <w:p>
      <w:pPr>
        <w:pStyle w:val="ListParagraph"/>
        <w:numPr>
          <w:ilvl w:val="0"/>
          <w:numId w:val="2"/>
        </w:numPr>
        <w:spacing w:before="40" w:after="40"/>
      </w:pPr>
      <w:r>
        <w:rPr>
          <w:rFonts w:ascii="Arial" w:cs="Arial" w:eastAsia="Arial" w:hAnsi="Arial"/>
          <w:b/>
          <w:bCs/>
          <w:color w:val="1E293B"/>
          <w:sz w:val="22"/>
          <w:szCs w:val="22"/>
        </w:rPr>
        <w:t xml:space="preserve">License expiry: </w:t>
      </w:r>
      <w:r>
        <w:rPr>
          <w:rFonts w:ascii="Arial" w:cs="Arial" w:eastAsia="Arial" w:hAnsi="Arial"/>
          <w:color w:val="334155"/>
          <w:sz w:val="22"/>
          <w:szCs w:val="22"/>
        </w:rPr>
        <w:t xml:space="preserve">exact expiry date with renewal status flag.</w:t>
      </w:r>
    </w:p>
    <w:p>
      <w:pPr>
        <w:pStyle w:val="ListParagraph"/>
        <w:numPr>
          <w:ilvl w:val="0"/>
          <w:numId w:val="2"/>
        </w:numPr>
        <w:spacing w:before="40" w:after="40"/>
      </w:pPr>
      <w:r>
        <w:rPr>
          <w:rFonts w:ascii="Arial" w:cs="Arial" w:eastAsia="Arial" w:hAnsi="Arial"/>
          <w:b/>
          <w:bCs/>
          <w:color w:val="1E293B"/>
          <w:sz w:val="22"/>
          <w:szCs w:val="22"/>
        </w:rPr>
        <w:t xml:space="preserve">Last activation date: </w:t>
      </w:r>
      <w:r>
        <w:rPr>
          <w:rFonts w:ascii="Arial" w:cs="Arial" w:eastAsia="Arial" w:hAnsi="Arial"/>
          <w:color w:val="334155"/>
          <w:sz w:val="22"/>
          <w:szCs w:val="22"/>
        </w:rPr>
        <w:t xml:space="preserve">when this node was last activated or re-activated.</w:t>
      </w:r>
    </w:p>
    <w:p>
      <w:pPr>
        <w:pStyle w:val="ListParagraph"/>
        <w:numPr>
          <w:ilvl w:val="0"/>
          <w:numId w:val="2"/>
        </w:numPr>
        <w:spacing w:before="40" w:after="40"/>
      </w:pPr>
      <w:r>
        <w:rPr>
          <w:rFonts w:ascii="Arial" w:cs="Arial" w:eastAsia="Arial" w:hAnsi="Arial"/>
          <w:b/>
          <w:bCs/>
          <w:color w:val="1E293B"/>
          <w:sz w:val="22"/>
          <w:szCs w:val="22"/>
        </w:rPr>
        <w:t xml:space="preserve">Support bundle history: </w:t>
      </w:r>
      <w:r>
        <w:rPr>
          <w:rFonts w:ascii="Arial" w:cs="Arial" w:eastAsia="Arial" w:hAnsi="Arial"/>
          <w:color w:val="334155"/>
          <w:sz w:val="22"/>
          <w:szCs w:val="22"/>
        </w:rPr>
        <w:t xml:space="preserve">log of all support bundles submitted for this node.</w:t>
      </w:r>
    </w:p>
    <w:p>
      <w:pPr>
        <w:pStyle w:val="ListParagraph"/>
        <w:numPr>
          <w:ilvl w:val="0"/>
          <w:numId w:val="2"/>
        </w:numPr>
        <w:spacing w:before="40" w:after="40"/>
      </w:pPr>
      <w:r>
        <w:rPr>
          <w:rFonts w:ascii="Arial" w:cs="Arial" w:eastAsia="Arial" w:hAnsi="Arial"/>
          <w:b/>
          <w:bCs/>
          <w:color w:val="1E293B"/>
          <w:sz w:val="22"/>
          <w:szCs w:val="22"/>
        </w:rPr>
        <w:t xml:space="preserve">Renewal pipeline: </w:t>
      </w:r>
      <w:r>
        <w:rPr>
          <w:rFonts w:ascii="Arial" w:cs="Arial" w:eastAsia="Arial" w:hAnsi="Arial"/>
          <w:color w:val="334155"/>
          <w:sz w:val="22"/>
          <w:szCs w:val="22"/>
        </w:rPr>
        <w:t xml:space="preserve">nodes within 90 days of expiry are flagged for outbound renewal contact.</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9 — CUSTOMER ONBOARDING &amp; TRAINING</w:t>
            </w:r>
          </w:p>
          <w:p>
            <w:r>
              <w:rPr>
                <w:rFonts w:ascii="Arial" w:cs="Arial" w:eastAsia="Arial" w:hAnsi="Arial"/>
                <w:color w:val="94A3B8"/>
                <w:sz w:val="18"/>
                <w:szCs w:val="18"/>
              </w:rPr>
              <w:t xml:space="preserve">Installation checklist, operator training, and go-live validation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Customer Onboarding &amp; Training</w:t>
      </w:r>
    </w:p>
    <w:p>
      <w:pPr>
        <w:spacing w:before="60" w:after="100"/>
      </w:pPr>
      <w:r>
        <w:rPr>
          <w:rFonts w:ascii="Arial" w:cs="Arial" w:eastAsia="Arial" w:hAnsi="Arial"/>
          <w:color w:val="334155"/>
          <w:sz w:val="22"/>
          <w:szCs w:val="22"/>
        </w:rPr>
        <w:t xml:space="preserve">The target customer for DocMaster is not a technology company. They are a land registry clerk, a hospital administrator, an NGO programme officer, or a customs official. They have domain expertise in their field but may have limited IT experience. The onboarding programme is designed to get a non-technical operator confidently using DocMaster within one working day.</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9.1 Onboarding Delivery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17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When Used</w:t>
            </w:r>
          </w:p>
        </w:tc>
        <w:tc>
          <w:tcPr>
            <w:tcW w:type="dxa" w:w="1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Vendor-led remote session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Video call (customer uses phone/laptop on separate network)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2+ customers on first deployment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3–4 hours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Vendor-led on-site visit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In-person at customer location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3 and Tier 4 Enterprise customers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 days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Self-guided onboarding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Built into the DocMaster first-boot wizard and UI guided tour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Tier 1 customers and repeat deployments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2–3 hours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Video training library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Recorded walkthrough videos hosted on vendor portal</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customers — reference after initial setup</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On-demand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Printed Quick Reference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A4 laminated card: daily operations summary in target language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Placed at the operator workstation post-install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 — reference</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9.2 Day-1 Operator Training Agenda</w:t>
      </w:r>
    </w:p>
    <w:p>
      <w:pPr>
        <w:spacing w:before="60" w:after="100"/>
      </w:pPr>
      <w:r>
        <w:rPr>
          <w:rFonts w:ascii="Arial" w:cs="Arial" w:eastAsia="Arial" w:hAnsi="Arial"/>
          <w:color w:val="334155"/>
          <w:sz w:val="22"/>
          <w:szCs w:val="22"/>
        </w:rPr>
        <w:t xml:space="preserve">For vendor-led sessions (remote or on-site), the following agenda covers the full operator skill set required to use DocMaster independently:</w:t>
      </w:r>
    </w:p>
    <w:p>
      <w:pPr>
        <w:spacing w:before="0" w:after="60"/>
      </w:pPr>
      <w:r>
        <w:t xml:space="preserve"/>
      </w:r>
    </w:p>
    <w:p>
      <w:pPr>
        <w:spacing w:before="160" w:after="60"/>
      </w:pPr>
      <w:r>
        <w:rPr>
          <w:rFonts w:ascii="Arial" w:cs="Arial" w:eastAsia="Arial" w:hAnsi="Arial"/>
          <w:b/>
          <w:bCs/>
          <w:i/>
          <w:iCs/>
          <w:color w:val="334155"/>
          <w:sz w:val="22"/>
          <w:szCs w:val="22"/>
        </w:rPr>
        <w:t xml:space="preserve">Morning Session — Core Operations (90 minutes)</w:t>
      </w:r>
    </w:p>
    <w:p>
      <w:pPr>
        <w:pStyle w:val="ListParagraph"/>
        <w:numPr>
          <w:ilvl w:val="0"/>
          <w:numId w:val="2"/>
        </w:numPr>
        <w:spacing w:before="40" w:after="40"/>
      </w:pPr>
      <w:r>
        <w:rPr>
          <w:rFonts w:ascii="Arial" w:cs="Arial" w:eastAsia="Arial" w:hAnsi="Arial"/>
          <w:b/>
          <w:bCs/>
          <w:color w:val="1E293B"/>
          <w:sz w:val="22"/>
          <w:szCs w:val="22"/>
        </w:rPr>
        <w:t xml:space="preserve">Module 1 — System Overview (20 min): </w:t>
      </w:r>
      <w:r>
        <w:rPr>
          <w:rFonts w:ascii="Arial" w:cs="Arial" w:eastAsia="Arial" w:hAnsi="Arial"/>
          <w:color w:val="334155"/>
          <w:sz w:val="22"/>
          <w:szCs w:val="22"/>
        </w:rPr>
        <w:t xml:space="preserve">what DocMaster does, the processing pipeline, the UI layout, and what each navigation section means.</w:t>
      </w:r>
    </w:p>
    <w:p>
      <w:pPr>
        <w:pStyle w:val="ListParagraph"/>
        <w:numPr>
          <w:ilvl w:val="0"/>
          <w:numId w:val="2"/>
        </w:numPr>
        <w:spacing w:before="40" w:after="40"/>
      </w:pPr>
      <w:r>
        <w:rPr>
          <w:rFonts w:ascii="Arial" w:cs="Arial" w:eastAsia="Arial" w:hAnsi="Arial"/>
          <w:b/>
          <w:bCs/>
          <w:color w:val="1E293B"/>
          <w:sz w:val="22"/>
          <w:szCs w:val="22"/>
        </w:rPr>
        <w:t xml:space="preserve">Module 2 — Document Ingestion (25 min): </w:t>
      </w:r>
      <w:r>
        <w:rPr>
          <w:rFonts w:ascii="Arial" w:cs="Arial" w:eastAsia="Arial" w:hAnsi="Arial"/>
          <w:color w:val="334155"/>
          <w:sz w:val="22"/>
          <w:szCs w:val="22"/>
        </w:rPr>
        <w:t xml:space="preserve">how to use the folder drop, the network scanner share, email ingestion, and manual upload. How to monitor the queue.</w:t>
      </w:r>
    </w:p>
    <w:p>
      <w:pPr>
        <w:pStyle w:val="ListParagraph"/>
        <w:numPr>
          <w:ilvl w:val="0"/>
          <w:numId w:val="2"/>
        </w:numPr>
        <w:spacing w:before="40" w:after="40"/>
      </w:pPr>
      <w:r>
        <w:rPr>
          <w:rFonts w:ascii="Arial" w:cs="Arial" w:eastAsia="Arial" w:hAnsi="Arial"/>
          <w:b/>
          <w:bCs/>
          <w:color w:val="1E293B"/>
          <w:sz w:val="22"/>
          <w:szCs w:val="22"/>
        </w:rPr>
        <w:t xml:space="preserve">Module 3 — Reviewing Results (25 min): </w:t>
      </w:r>
      <w:r>
        <w:rPr>
          <w:rFonts w:ascii="Arial" w:cs="Arial" w:eastAsia="Arial" w:hAnsi="Arial"/>
          <w:color w:val="334155"/>
          <w:sz w:val="22"/>
          <w:szCs w:val="22"/>
        </w:rPr>
        <w:t xml:space="preserve">how to read confidence scores, how to open a document and correct extraction errors, how to approve and export.</w:t>
      </w:r>
    </w:p>
    <w:p>
      <w:pPr>
        <w:pStyle w:val="ListParagraph"/>
        <w:numPr>
          <w:ilvl w:val="0"/>
          <w:numId w:val="2"/>
        </w:numPr>
        <w:spacing w:before="40" w:after="40"/>
      </w:pPr>
      <w:r>
        <w:rPr>
          <w:rFonts w:ascii="Arial" w:cs="Arial" w:eastAsia="Arial" w:hAnsi="Arial"/>
          <w:b/>
          <w:bCs/>
          <w:color w:val="1E293B"/>
          <w:sz w:val="22"/>
          <w:szCs w:val="22"/>
        </w:rPr>
        <w:t xml:space="preserve">Module 4 — Exports (20 min): </w:t>
      </w:r>
      <w:r>
        <w:rPr>
          <w:rFonts w:ascii="Arial" w:cs="Arial" w:eastAsia="Arial" w:hAnsi="Arial"/>
          <w:color w:val="334155"/>
          <w:sz w:val="22"/>
          <w:szCs w:val="22"/>
        </w:rPr>
        <w:t xml:space="preserve">how to export a single document as CSV or JSON, how to bulk export a batch, and how to use the Reports section.</w:t>
      </w:r>
    </w:p>
    <w:p>
      <w:pPr>
        <w:spacing w:before="0" w:after="60"/>
      </w:pPr>
      <w:r>
        <w:t xml:space="preserve"/>
      </w:r>
    </w:p>
    <w:p>
      <w:pPr>
        <w:spacing w:before="160" w:after="60"/>
      </w:pPr>
      <w:r>
        <w:rPr>
          <w:rFonts w:ascii="Arial" w:cs="Arial" w:eastAsia="Arial" w:hAnsi="Arial"/>
          <w:b/>
          <w:bCs/>
          <w:i/>
          <w:iCs/>
          <w:color w:val="334155"/>
          <w:sz w:val="22"/>
          <w:szCs w:val="22"/>
        </w:rPr>
        <w:t xml:space="preserve">Afternoon Session — System Administration (60 minutes)</w:t>
      </w:r>
    </w:p>
    <w:p>
      <w:pPr>
        <w:pStyle w:val="ListParagraph"/>
        <w:numPr>
          <w:ilvl w:val="0"/>
          <w:numId w:val="2"/>
        </w:numPr>
        <w:spacing w:before="40" w:after="40"/>
      </w:pPr>
      <w:r>
        <w:rPr>
          <w:rFonts w:ascii="Arial" w:cs="Arial" w:eastAsia="Arial" w:hAnsi="Arial"/>
          <w:b/>
          <w:bCs/>
          <w:color w:val="1E293B"/>
          <w:sz w:val="22"/>
          <w:szCs w:val="22"/>
        </w:rPr>
        <w:t xml:space="preserve">Module 5 — System Health (20 min): </w:t>
      </w:r>
      <w:r>
        <w:rPr>
          <w:rFonts w:ascii="Arial" w:cs="Arial" w:eastAsia="Arial" w:hAnsi="Arial"/>
          <w:color w:val="334155"/>
          <w:sz w:val="22"/>
          <w:szCs w:val="22"/>
        </w:rPr>
        <w:t xml:space="preserve">how to read the System Health dashboard, what the status colours mean, how to restart a service from the UI, and what to do if something goes red.</w:t>
      </w:r>
    </w:p>
    <w:p>
      <w:pPr>
        <w:pStyle w:val="ListParagraph"/>
        <w:numPr>
          <w:ilvl w:val="0"/>
          <w:numId w:val="2"/>
        </w:numPr>
        <w:spacing w:before="40" w:after="40"/>
      </w:pPr>
      <w:r>
        <w:rPr>
          <w:rFonts w:ascii="Arial" w:cs="Arial" w:eastAsia="Arial" w:hAnsi="Arial"/>
          <w:b/>
          <w:bCs/>
          <w:color w:val="1E293B"/>
          <w:sz w:val="22"/>
          <w:szCs w:val="22"/>
        </w:rPr>
        <w:t xml:space="preserve">Module 6 — Settings &amp; Integrations (20 min): </w:t>
      </w:r>
      <w:r>
        <w:rPr>
          <w:rFonts w:ascii="Arial" w:cs="Arial" w:eastAsia="Arial" w:hAnsi="Arial"/>
          <w:color w:val="334155"/>
          <w:sz w:val="22"/>
          <w:szCs w:val="22"/>
        </w:rPr>
        <w:t xml:space="preserve">how to configure ingestion channels, set the confidence threshold, manage user accounts, and enable/disable integrations.</w:t>
      </w:r>
    </w:p>
    <w:p>
      <w:pPr>
        <w:pStyle w:val="ListParagraph"/>
        <w:numPr>
          <w:ilvl w:val="0"/>
          <w:numId w:val="2"/>
        </w:numPr>
        <w:spacing w:before="40" w:after="40"/>
      </w:pPr>
      <w:r>
        <w:rPr>
          <w:rFonts w:ascii="Arial" w:cs="Arial" w:eastAsia="Arial" w:hAnsi="Arial"/>
          <w:b/>
          <w:bCs/>
          <w:color w:val="1E293B"/>
          <w:sz w:val="22"/>
          <w:szCs w:val="22"/>
        </w:rPr>
        <w:t xml:space="preserve">Module 7 — Applying Updates (10 min): </w:t>
      </w:r>
      <w:r>
        <w:rPr>
          <w:rFonts w:ascii="Arial" w:cs="Arial" w:eastAsia="Arial" w:hAnsi="Arial"/>
          <w:color w:val="334155"/>
          <w:sz w:val="22"/>
          <w:szCs w:val="22"/>
        </w:rPr>
        <w:t xml:space="preserve">how to receive a USB update from the vendor, how to apply it through the UI, and what Blue/Green means in plain terms.</w:t>
      </w:r>
    </w:p>
    <w:p>
      <w:pPr>
        <w:pStyle w:val="ListParagraph"/>
        <w:numPr>
          <w:ilvl w:val="0"/>
          <w:numId w:val="2"/>
        </w:numPr>
        <w:spacing w:before="40" w:after="40"/>
      </w:pPr>
      <w:r>
        <w:rPr>
          <w:rFonts w:ascii="Arial" w:cs="Arial" w:eastAsia="Arial" w:hAnsi="Arial"/>
          <w:b/>
          <w:bCs/>
          <w:color w:val="1E293B"/>
          <w:sz w:val="22"/>
          <w:szCs w:val="22"/>
        </w:rPr>
        <w:t xml:space="preserve">Module 8 — Getting Support (10 min): </w:t>
      </w:r>
      <w:r>
        <w:rPr>
          <w:rFonts w:ascii="Arial" w:cs="Arial" w:eastAsia="Arial" w:hAnsi="Arial"/>
          <w:color w:val="334155"/>
          <w:sz w:val="22"/>
          <w:szCs w:val="22"/>
        </w:rPr>
        <w:t xml:space="preserve">how to generate a support bundle, how to contact the vendor, and what information to have ready.</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9.3 Go-Live Validation Checklist</w:t>
      </w:r>
    </w:p>
    <w:p>
      <w:pPr>
        <w:spacing w:before="60" w:after="100"/>
      </w:pPr>
      <w:r>
        <w:rPr>
          <w:rFonts w:ascii="Arial" w:cs="Arial" w:eastAsia="Arial" w:hAnsi="Arial"/>
          <w:color w:val="334155"/>
          <w:sz w:val="22"/>
          <w:szCs w:val="22"/>
        </w:rPr>
        <w:t xml:space="preserve">Before handing over to the customer as fully operational, the vendor engineer (or the customer following the self-guided checklist) completes the following validation: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License Active</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First-boot wizard completed. License tier and expiry confirmed in System Health.</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Admin Account</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Admin credentials set. Default credentials not in use. At least one operator account created.</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Recovery Shares</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 Shamir recovery shares generated and distributed. Admin confirms share receipt.</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Folder Drop Test</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Drop a test PDF into /opt/docmaster/ingest/drop/. Confirm it appears in Documents within 60s.</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Scanner Integration</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Scan a test page from the office scanner to the Samba share. Confirm ingestion.</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Email Ingest Test</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Send an email with PDF attachment to process@docmaster.local. Confirm document processed.</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OCR Accuracy Sample</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Process 5 representative documents from the customer's archive. Review confidence scores. Flag any below 75% for configuration adjustment.</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Export Test</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Export one processed document as CSV and one as JSON. Confirm field mapping is correct.</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Health Dashboard</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All System Health components show green. No warnings except any known pre-existing conditions.</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Backup Confirmed</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Trigger a manual backup run. Confirm backup file created in /opt/docmaster/vault/backups/</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Operator Training</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All assigned operators have completed Day-1 training. Sign-off recorded.</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00"/>
              <w:bottom w:type="dxa" w:w="70"/>
              <w:right w:type="dxa" w:w="100"/>
            </w:tcMar>
          </w:tcPr>
          <w:p>
            <w:pPr>
              <w:jc w:val="center"/>
            </w:pPr>
            <w:r>
              <w:rPr>
                <w:rFonts w:ascii="Arial" w:cs="Arial" w:eastAsia="Arial" w:hAnsi="Arial"/>
                <w:b/>
                <w:bCs/>
                <w:color w:val="1E293B"/>
                <w:sz w:val="18"/>
                <w:szCs w:val="18"/>
              </w:rPr>
              <w:t xml:space="preserve">TODO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Support Contact</w:t>
            </w:r>
          </w:p>
        </w:tc>
        <w:tc>
          <w:tcPr>
            <w:tcW w:type="dxa" w:w="5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Operator knows the vendor support contact method and how to generate a support bundle.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10 — RELEASE ROADMAP</w:t>
            </w:r>
          </w:p>
          <w:p>
            <w:r>
              <w:rPr>
                <w:rFonts w:ascii="Arial" w:cs="Arial" w:eastAsia="Arial" w:hAnsi="Arial"/>
                <w:color w:val="94A3B8"/>
                <w:sz w:val="18"/>
                <w:szCs w:val="18"/>
              </w:rPr>
              <w:t xml:space="preserve">DocMaster v1.0, v1.1, and v1.2 version definition and ship criteria</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Release Roadmap: v1.0 → v1.1 → v1.2</w:t>
      </w:r>
    </w:p>
    <w:p>
      <w:pPr>
        <w:spacing w:before="60" w:after="100"/>
      </w:pPr>
      <w:r>
        <w:rPr>
          <w:rFonts w:ascii="Arial" w:cs="Arial" w:eastAsia="Arial" w:hAnsi="Arial"/>
          <w:color w:val="334155"/>
          <w:sz w:val="22"/>
          <w:szCs w:val="22"/>
        </w:rPr>
        <w:t xml:space="preserve">This section formally defines what is in each version, the ship criteria for each, and the development timeline. The three-version roadmap covers approximately 18 months from first customer ship to a feature-complete, multi-platform product.</w:t>
      </w:r>
    </w:p>
    <w:p>
      <w:pPr>
        <w:spacing w:before="0" w:after="80"/>
      </w:pPr>
      <w:r>
        <w:t xml:space="preserve"/>
      </w:r>
    </w:p>
    <w:p>
      <w:pPr>
        <w:pStyle w:val="Heading2"/>
        <w:spacing w:before="360" w:after="120"/>
      </w:pPr>
      <w:r>
        <w:rPr>
          <w:rFonts w:ascii="Arial" w:cs="Arial" w:eastAsia="Arial" w:hAnsi="Arial"/>
          <w:b/>
          <w:bCs/>
          <w:color w:val="0E7490"/>
          <w:sz w:val="30"/>
          <w:szCs w:val="30"/>
        </w:rPr>
        <w:t xml:space="preserve">10.1 DocMaster v1.0 — Foundation Release</w:t>
      </w:r>
    </w:p>
    <w:p>
      <w:pPr>
        <w:spacing w:before="60" w:after="100"/>
      </w:pPr>
      <w:r>
        <w:rPr>
          <w:rFonts w:ascii="Arial" w:cs="Arial" w:eastAsia="Arial" w:hAnsi="Arial"/>
          <w:color w:val="334155"/>
          <w:sz w:val="22"/>
          <w:szCs w:val="22"/>
        </w:rPr>
        <w:t xml:space="preserve">v1.0 is the first customer-shippable release. It implements Phases 1 through 4 of the specification. The Insights Engine (Phase 5) is not included in v1.0 — it ships as v1.1 to allow the core platform to stabilise in the field before adding analytics complexity.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What's Included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Platform</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x86_64 only. ISO + bash installer. Ubuntu 22.04+ / Debian 12+ base.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Ingestion</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Folder drop, SMB network scanner share, email ingest, manual API upload. Fax (HylaFAX) optional.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OCR Pipeline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Tesseract + PaddleOCR + Kraken cascaded engine. Confidence scoring. Human review queue.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LLM Extraction</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Ollama llama3.1:8b-q4. Local inference. Offline. Claude API optional fallback when internet available.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Database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dm_vault. dm_core, dm_flux, dm_sentinel schemas. pgvector semantic search.</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/dm/ API surface (core, flux, mind, bridge, sentinel, vault). 45+ endpoints. JWT auth. Role-based access.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Dashboard, Documents, Queue, Integrations, System Health, Settings. Document correction view.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Integrations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Google Drive, OneDrive, SMTP, outbound webhook, SFTP. All optional, toggle-enabled.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Licensing</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Node-locked hardware fingerprint. Three-channel activation. Read-only grace mode on expiry.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Security</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TLS, bcrypt, audit log, UFW firewall, least-privilege service accounts. No stack traces externally.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Resilience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systemd watchdog, Blue/Green updates, cron self-healing, boot ordering, automated rollback.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Language Support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English Language Pack included. French, Spanish, Portuguese, Arabic, Hindi as separate paid packs.</w:t>
            </w:r>
          </w:p>
        </w:tc>
      </w:tr>
    </w:tbl>
    <w:p>
      <w:pPr>
        <w:spacing w:before="0" w:after="80"/>
      </w:pPr>
      <w:r>
        <w:t xml:space="preserve"/>
      </w:r>
    </w:p>
    <w:p>
      <w:pPr>
        <w:spacing w:before="240" w:after="80"/>
      </w:pPr>
      <w:r>
        <w:rPr>
          <w:rFonts w:ascii="Arial" w:cs="Arial" w:eastAsia="Arial" w:hAnsi="Arial"/>
          <w:b/>
          <w:bCs/>
          <w:color w:val="1E293B"/>
          <w:sz w:val="24"/>
          <w:szCs w:val="24"/>
        </w:rPr>
        <w:t xml:space="preserve">v1.0 Ship Criteria</w:t>
      </w:r>
    </w:p>
    <w:p>
      <w:pPr>
        <w:pStyle w:val="ListParagraph"/>
        <w:numPr>
          <w:ilvl w:val="0"/>
          <w:numId w:val="2"/>
        </w:numPr>
        <w:spacing w:before="40" w:after="40"/>
      </w:pPr>
      <w:r>
        <w:rPr>
          <w:rFonts w:ascii="Arial" w:cs="Arial" w:eastAsia="Arial" w:hAnsi="Arial"/>
          <w:b/>
          <w:bCs/>
          <w:color w:val="1E293B"/>
          <w:sz w:val="22"/>
          <w:szCs w:val="22"/>
        </w:rPr>
        <w:t xml:space="preserve">All Phase 4 CRITICAL checklist items: </w:t>
      </w:r>
      <w:r>
        <w:rPr>
          <w:rFonts w:ascii="Arial" w:cs="Arial" w:eastAsia="Arial" w:hAnsi="Arial"/>
          <w:color w:val="334155"/>
          <w:sz w:val="22"/>
          <w:szCs w:val="22"/>
        </w:rPr>
        <w:t xml:space="preserve">complete and verified.</w:t>
      </w:r>
    </w:p>
    <w:p>
      <w:pPr>
        <w:pStyle w:val="ListParagraph"/>
        <w:numPr>
          <w:ilvl w:val="0"/>
          <w:numId w:val="2"/>
        </w:numPr>
        <w:spacing w:before="40" w:after="40"/>
      </w:pPr>
      <w:r>
        <w:rPr>
          <w:rFonts w:ascii="Arial" w:cs="Arial" w:eastAsia="Arial" w:hAnsi="Arial"/>
          <w:b/>
          <w:bCs/>
          <w:color w:val="1E293B"/>
          <w:sz w:val="22"/>
          <w:szCs w:val="22"/>
        </w:rPr>
        <w:t xml:space="preserve">QA matrix TC-001 through TC-020: </w:t>
      </w:r>
      <w:r>
        <w:rPr>
          <w:rFonts w:ascii="Arial" w:cs="Arial" w:eastAsia="Arial" w:hAnsi="Arial"/>
          <w:color w:val="334155"/>
          <w:sz w:val="22"/>
          <w:szCs w:val="22"/>
        </w:rPr>
        <w:t xml:space="preserve">pass on all 6 target environments (bare metal, Proxmox LXC, VMware, VirtualBox, KVM, bare metal no-GPU).</w:t>
      </w:r>
    </w:p>
    <w:p>
      <w:pPr>
        <w:pStyle w:val="ListParagraph"/>
        <w:numPr>
          <w:ilvl w:val="0"/>
          <w:numId w:val="2"/>
        </w:numPr>
        <w:spacing w:before="40" w:after="40"/>
      </w:pPr>
      <w:r>
        <w:rPr>
          <w:rFonts w:ascii="Arial" w:cs="Arial" w:eastAsia="Arial" w:hAnsi="Arial"/>
          <w:b/>
          <w:bCs/>
          <w:color w:val="1E293B"/>
          <w:sz w:val="22"/>
          <w:szCs w:val="22"/>
        </w:rPr>
        <w:t xml:space="preserve">Vendor portal: </w:t>
      </w:r>
      <w:r>
        <w:rPr>
          <w:rFonts w:ascii="Arial" w:cs="Arial" w:eastAsia="Arial" w:hAnsi="Arial"/>
          <w:color w:val="334155"/>
          <w:sz w:val="22"/>
          <w:szCs w:val="22"/>
        </w:rPr>
        <w:t xml:space="preserve">activation flow end-to-end tested with real hardware fingerprints.</w:t>
      </w:r>
    </w:p>
    <w:p>
      <w:pPr>
        <w:pStyle w:val="ListParagraph"/>
        <w:numPr>
          <w:ilvl w:val="0"/>
          <w:numId w:val="2"/>
        </w:numPr>
        <w:spacing w:before="40" w:after="40"/>
      </w:pPr>
      <w:r>
        <w:rPr>
          <w:rFonts w:ascii="Arial" w:cs="Arial" w:eastAsia="Arial" w:hAnsi="Arial"/>
          <w:b/>
          <w:bCs/>
          <w:color w:val="1E293B"/>
          <w:sz w:val="22"/>
          <w:szCs w:val="22"/>
        </w:rPr>
        <w:t xml:space="preserve">First-boot wizard: </w:t>
      </w:r>
      <w:r>
        <w:rPr>
          <w:rFonts w:ascii="Arial" w:cs="Arial" w:eastAsia="Arial" w:hAnsi="Arial"/>
          <w:color w:val="334155"/>
          <w:sz w:val="22"/>
          <w:szCs w:val="22"/>
        </w:rPr>
        <w:t xml:space="preserve">three activation channels tested. Recovery share generation tested.</w:t>
      </w:r>
    </w:p>
    <w:p>
      <w:pPr>
        <w:pStyle w:val="ListParagraph"/>
        <w:numPr>
          <w:ilvl w:val="0"/>
          <w:numId w:val="2"/>
        </w:numPr>
        <w:spacing w:before="40" w:after="40"/>
      </w:pPr>
      <w:r>
        <w:rPr>
          <w:rFonts w:ascii="Arial" w:cs="Arial" w:eastAsia="Arial" w:hAnsi="Arial"/>
          <w:b/>
          <w:bCs/>
          <w:color w:val="1E293B"/>
          <w:sz w:val="22"/>
          <w:szCs w:val="22"/>
        </w:rPr>
        <w:t xml:space="preserve">Documentation: </w:t>
      </w:r>
      <w:r>
        <w:rPr>
          <w:rFonts w:ascii="Arial" w:cs="Arial" w:eastAsia="Arial" w:hAnsi="Arial"/>
          <w:color w:val="334155"/>
          <w:sz w:val="22"/>
          <w:szCs w:val="22"/>
        </w:rPr>
        <w:t xml:space="preserve">Installation Guide, Operator Manual, and API Reference complete.</w:t>
      </w:r>
    </w:p>
    <w:p>
      <w:pPr>
        <w:pStyle w:val="ListParagraph"/>
        <w:numPr>
          <w:ilvl w:val="0"/>
          <w:numId w:val="2"/>
        </w:numPr>
        <w:spacing w:before="40" w:after="40"/>
      </w:pPr>
      <w:r>
        <w:rPr>
          <w:rFonts w:ascii="Arial" w:cs="Arial" w:eastAsia="Arial" w:hAnsi="Arial"/>
          <w:b/>
          <w:bCs/>
          <w:color w:val="1E293B"/>
          <w:sz w:val="22"/>
          <w:szCs w:val="22"/>
        </w:rPr>
        <w:t xml:space="preserve">At least one beta customer: </w:t>
      </w:r>
      <w:r>
        <w:rPr>
          <w:rFonts w:ascii="Arial" w:cs="Arial" w:eastAsia="Arial" w:hAnsi="Arial"/>
          <w:color w:val="334155"/>
          <w:sz w:val="22"/>
          <w:szCs w:val="22"/>
        </w:rPr>
        <w:t xml:space="preserve">one real customer has installed v1.0 at their site and confirmed operational.</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10.2 DocMaster v1.1 — Insights Release</w:t>
      </w:r>
    </w:p>
    <w:p>
      <w:pPr>
        <w:spacing w:before="60" w:after="100"/>
      </w:pPr>
      <w:r>
        <w:rPr>
          <w:rFonts w:ascii="Arial" w:cs="Arial" w:eastAsia="Arial" w:hAnsi="Arial"/>
          <w:color w:val="334155"/>
          <w:sz w:val="22"/>
          <w:szCs w:val="22"/>
        </w:rPr>
        <w:t xml:space="preserve">v1.1 adds the Phase 5 Insights Engine. It is delivered as a Blue/Green update to all existing v1.0 customers. The update bundle includes the new dm-insights binary, the three new database schemas (additive migration — no v1.0 data is modified), and the new Insights UI section.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What's Added in v1.1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Insights Engine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dm-insights.service. All six modules: Indexer, Trend Engine, Entity Extractor, Anomaly Detector, NL Query Engine, Report Generator.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 Schemas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dm_analytics, dm_graph, dm_reports — additive, never modify dm_core.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API Domain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 — 28 new endpoints for trends, entities, anomalies, NL query, and reports.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 UI Section</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Insights navigation item. Six sub-views: Overview, Trends, Entities, Anomalies, Query, Reports.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BI Export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XLSX multi-sheet export. dm_readonly PostgreSQL role for Power BI direct connect (port 5433, off by default).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ARM64 (Tier 1 only)</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RPi 5 variant of dm-insights included. 3b model configuration. NPU-aware inference routing.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Report Templates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 built-in report templates. Scheduled delivery via email and webhook.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Tier Enforcement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5 features gated behind Tier 2+ license flag. Tier 1 customers see 'Upgrade to Pro Site' prompt.</w:t>
            </w:r>
          </w:p>
        </w:tc>
      </w:tr>
    </w:tbl>
    <w:p>
      <w:pPr>
        <w:spacing w:before="0" w:after="80"/>
      </w:pPr>
      <w:r>
        <w:t xml:space="preserve"/>
      </w:r>
    </w:p>
    <w:p>
      <w:pPr>
        <w:spacing w:before="240" w:after="80"/>
      </w:pPr>
      <w:r>
        <w:rPr>
          <w:rFonts w:ascii="Arial" w:cs="Arial" w:eastAsia="Arial" w:hAnsi="Arial"/>
          <w:b/>
          <w:bCs/>
          <w:color w:val="1E293B"/>
          <w:sz w:val="24"/>
          <w:szCs w:val="24"/>
        </w:rPr>
        <w:t xml:space="preserve">v1.1 Ship Criteria</w:t>
      </w:r>
    </w:p>
    <w:p>
      <w:pPr>
        <w:pStyle w:val="ListParagraph"/>
        <w:numPr>
          <w:ilvl w:val="0"/>
          <w:numId w:val="2"/>
        </w:numPr>
        <w:spacing w:before="40" w:after="40"/>
      </w:pPr>
      <w:r>
        <w:rPr>
          <w:rFonts w:ascii="Arial" w:cs="Arial" w:eastAsia="Arial" w:hAnsi="Arial"/>
          <w:b/>
          <w:bCs/>
          <w:color w:val="1E293B"/>
          <w:sz w:val="22"/>
          <w:szCs w:val="22"/>
        </w:rPr>
        <w:t xml:space="preserve">All Phase 5 CRITICAL checklist items: </w:t>
      </w:r>
      <w:r>
        <w:rPr>
          <w:rFonts w:ascii="Arial" w:cs="Arial" w:eastAsia="Arial" w:hAnsi="Arial"/>
          <w:color w:val="334155"/>
          <w:sz w:val="22"/>
          <w:szCs w:val="22"/>
        </w:rPr>
        <w:t xml:space="preserve">complete and verified.</w:t>
      </w:r>
    </w:p>
    <w:p>
      <w:pPr>
        <w:pStyle w:val="ListParagraph"/>
        <w:numPr>
          <w:ilvl w:val="0"/>
          <w:numId w:val="2"/>
        </w:numPr>
        <w:spacing w:before="40" w:after="40"/>
      </w:pPr>
      <w:r>
        <w:rPr>
          <w:rFonts w:ascii="Arial" w:cs="Arial" w:eastAsia="Arial" w:hAnsi="Arial"/>
          <w:b/>
          <w:bCs/>
          <w:color w:val="1E293B"/>
          <w:sz w:val="22"/>
          <w:szCs w:val="22"/>
        </w:rPr>
        <w:t xml:space="preserve">QA matrix TC-P5-001 through TC-P5-015: </w:t>
      </w:r>
      <w:r>
        <w:rPr>
          <w:rFonts w:ascii="Arial" w:cs="Arial" w:eastAsia="Arial" w:hAnsi="Arial"/>
          <w:color w:val="334155"/>
          <w:sz w:val="22"/>
          <w:szCs w:val="22"/>
        </w:rPr>
        <w:t xml:space="preserve">pass.</w:t>
      </w:r>
    </w:p>
    <w:p>
      <w:pPr>
        <w:pStyle w:val="ListParagraph"/>
        <w:numPr>
          <w:ilvl w:val="0"/>
          <w:numId w:val="2"/>
        </w:numPr>
        <w:spacing w:before="40" w:after="40"/>
      </w:pPr>
      <w:r>
        <w:rPr>
          <w:rFonts w:ascii="Arial" w:cs="Arial" w:eastAsia="Arial" w:hAnsi="Arial"/>
          <w:b/>
          <w:bCs/>
          <w:color w:val="1E293B"/>
          <w:sz w:val="22"/>
          <w:szCs w:val="22"/>
        </w:rPr>
        <w:t xml:space="preserve">v1.0 upgrade path: </w:t>
      </w:r>
      <w:r>
        <w:rPr>
          <w:rFonts w:ascii="Arial" w:cs="Arial" w:eastAsia="Arial" w:hAnsi="Arial"/>
          <w:color w:val="334155"/>
          <w:sz w:val="22"/>
          <w:szCs w:val="22"/>
        </w:rPr>
        <w:t xml:space="preserve">Blue/Green update from v1.0 to v1.1 tested on all 6 environments without data loss.</w:t>
      </w:r>
    </w:p>
    <w:p>
      <w:pPr>
        <w:pStyle w:val="ListParagraph"/>
        <w:numPr>
          <w:ilvl w:val="0"/>
          <w:numId w:val="2"/>
        </w:numPr>
        <w:spacing w:before="40" w:after="40"/>
      </w:pPr>
      <w:r>
        <w:rPr>
          <w:rFonts w:ascii="Arial" w:cs="Arial" w:eastAsia="Arial" w:hAnsi="Arial"/>
          <w:b/>
          <w:bCs/>
          <w:color w:val="1E293B"/>
          <w:sz w:val="22"/>
          <w:szCs w:val="22"/>
        </w:rPr>
        <w:t xml:space="preserve">NL Query security: </w:t>
      </w:r>
      <w:r>
        <w:rPr>
          <w:rFonts w:ascii="Arial" w:cs="Arial" w:eastAsia="Arial" w:hAnsi="Arial"/>
          <w:color w:val="334155"/>
          <w:sz w:val="22"/>
          <w:szCs w:val="22"/>
        </w:rPr>
        <w:t xml:space="preserve">SQL allowlist validator pen-tested. No injection vector found.</w:t>
      </w:r>
    </w:p>
    <w:p>
      <w:pPr>
        <w:pStyle w:val="ListParagraph"/>
        <w:numPr>
          <w:ilvl w:val="0"/>
          <w:numId w:val="2"/>
        </w:numPr>
        <w:spacing w:before="40" w:after="40"/>
      </w:pPr>
      <w:r>
        <w:rPr>
          <w:rFonts w:ascii="Arial" w:cs="Arial" w:eastAsia="Arial" w:hAnsi="Arial"/>
          <w:b/>
          <w:bCs/>
          <w:color w:val="1E293B"/>
          <w:sz w:val="22"/>
          <w:szCs w:val="22"/>
        </w:rPr>
        <w:t xml:space="preserve">Indexer performance: </w:t>
      </w:r>
      <w:r>
        <w:rPr>
          <w:rFonts w:ascii="Arial" w:cs="Arial" w:eastAsia="Arial" w:hAnsi="Arial"/>
          <w:color w:val="334155"/>
          <w:sz w:val="22"/>
          <w:szCs w:val="22"/>
        </w:rPr>
        <w:t xml:space="preserve">10,000-document historical vault indexed within 4 hours on all hardware tiers.</w:t>
      </w:r>
    </w:p>
    <w:p>
      <w:pPr>
        <w:spacing w:before="0" w:after="120"/>
      </w:pPr>
      <w:r>
        <w:t xml:space="preserve"/>
      </w:r>
    </w:p>
    <w:p>
      <w:pPr>
        <w:pStyle w:val="Heading2"/>
        <w:spacing w:before="360" w:after="120"/>
      </w:pPr>
      <w:r>
        <w:rPr>
          <w:rFonts w:ascii="Arial" w:cs="Arial" w:eastAsia="Arial" w:hAnsi="Arial"/>
          <w:b/>
          <w:bCs/>
          <w:color w:val="0E7490"/>
          <w:sz w:val="30"/>
          <w:szCs w:val="30"/>
        </w:rPr>
        <w:t xml:space="preserve">10.3 DocMaster v1.2 — Scale &amp; Reach Release</w:t>
      </w:r>
    </w:p>
    <w:p>
      <w:pPr>
        <w:spacing w:before="60" w:after="100"/>
      </w:pPr>
      <w:r>
        <w:rPr>
          <w:rFonts w:ascii="Arial" w:cs="Arial" w:eastAsia="Arial" w:hAnsi="Arial"/>
          <w:color w:val="334155"/>
          <w:sz w:val="22"/>
          <w:szCs w:val="22"/>
        </w:rPr>
        <w:t xml:space="preserve">v1.2 addresses the remaining market expansion items: full ARM64 feature parity across all tiers, advanced multi-language support, high-availability clustering for Tier 4 Enterprise customers, and the mobile companion app.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What's Added in v1.2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ARM64 Full Parity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four ARM64 hardware variants (RPi 5, RPi 5 + Hailo, Jetson NX, Jetson AGX) fully tested with Phase 5 Insights Engine. Same QA matrix as x86_64.</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HA Clustering</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Active-passive PostgreSQL replication for Tier 4 Enterprise. Failover in &lt;30 seconds. Shared /opt/docmaster/vault/ via NFS or DRBD. Targeted at national-scale deployments.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Arabic / Devanagari</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Arabic and Hindi Language Packs ship as standard (no longer requiring fine-tuning for common printed documents). Fine-tuning service retained for handwritten/historical.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Mobile Companion App</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 read-only mobile app (iOS + Android) that connects to the DocMaster appliance over the local network. Operators can view processed documents, check the queue, and acknowledge anomalies from their phone or tablet.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Multi-Language UI</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DocMaster UI itself ships in English, French, Spanish, and Portuguese. Language selected in Settings → Display Language.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Bulk Import Tool</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 standalone dm-import CLI tool for bulk-loading pre-scanned PDF/image archives directly into the vault, bypassing the real-time queue. Designed for large digitization projects where years of backlog need to be loaded at once.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Audit Export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One-click export of the full dm_core.audit_log for a date range as a signed, tamper-evident PDF. Designed for regulatory compliance submissions.</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10.4 Release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Target Ship</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Primary Milestone</w:t>
            </w:r>
          </w:p>
        </w:tc>
        <w:tc>
          <w:tcPr>
            <w:tcW w:type="dxa" w:w="3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Dependency</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v1.0</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Q3 2026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First customer deployment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4 QA matrix complete. Beta customer confirmed.</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v1.1</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Q4 2026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Insights Engine available to all customers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v1.0 stable in field for 60+ days. Phase 5 QA complete.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Q2 2027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ARM64 parity + HA + mobile companion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v1.1 stable. ARM64 QA matrix complete. Mobile app submitted to App Stores.</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r>
              <w:rPr>
                <w:rFonts w:ascii="Arial" w:cs="Arial" w:eastAsia="Arial" w:hAnsi="Arial"/>
                <w:b/>
                <w:bCs/>
                <w:color w:val="FDE68A"/>
                <w:sz w:val="20"/>
                <w:szCs w:val="20"/>
              </w:rPr>
              <w:t xml:space="preserve">SECTION 11 — FULL PROJECT COMPLETION SUMMARY</w:t>
            </w:r>
          </w:p>
          <w:p>
            <w:r>
              <w:rPr>
                <w:rFonts w:ascii="Arial" w:cs="Arial" w:eastAsia="Arial" w:hAnsi="Arial"/>
                <w:color w:val="94A3B8"/>
                <w:sz w:val="18"/>
                <w:szCs w:val="18"/>
              </w:rPr>
              <w:t xml:space="preserve">DocMaster Phases 1–6: the complete specification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Full Project Completion Summary</w:t>
      </w:r>
    </w:p>
    <w:p>
      <w:pPr>
        <w:spacing w:before="60" w:after="100"/>
      </w:pPr>
      <w:r>
        <w:rPr>
          <w:rFonts w:ascii="Arial" w:cs="Arial" w:eastAsia="Arial" w:hAnsi="Arial"/>
          <w:color w:val="334155"/>
          <w:sz w:val="22"/>
          <w:szCs w:val="22"/>
        </w:rPr>
        <w:t xml:space="preserve">With Phase 6, the DocMaster specification is complete across all six dimensions: technical architecture, product features, business model, operational processes, language coverage, and release roadmap. The following table is the definitive summary of what was built across all six phases.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500"/>
        <w:gridCol w:w="146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5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Core Deliverables</w:t>
            </w:r>
          </w:p>
        </w:tc>
        <w:tc>
          <w:tcPr>
            <w:tcW w:type="dxa" w:w="1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Version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Foundation &amp; Market Fit</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OCR engine selection (Tesseract, PaddleOCR, Kraken). End-to-end pipeline architecture. Target market strategy. Self-hosted cost model. Consistency framework.</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Concept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Appliance Architecture</w:t>
            </w:r>
          </w:p>
        </w:tc>
        <w:tc>
          <w:tcPr>
            <w:tcW w:type="dxa" w:w="5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Linux appliance design. /opt/docmaster/ directory structure. systemd microservice model. Multi-channel ingestion (drop, SMB, email, fax, API). Ollama LLM integration. Blue/Green resilience framework.</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Concept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Identity &amp; Resilience</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 API namespace methodology. Brand identity system. systemd watchdog, cron self-healing, boot dependency ordering. Update safety with automated rollback.</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Concept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Execution Specification</w:t>
            </w:r>
          </w:p>
        </w:tc>
        <w:tc>
          <w:tcPr>
            <w:tcW w:type="dxa" w:w="5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Dual installer (ISO + bash). Complete PostgreSQL schema. All systemd unit files. Full /dm/ API reference (45+ endpoints). Security hardening. 20-case QA matrix. GTM checklist.</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v1.0 spec</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Insights Engine</w:t>
            </w:r>
          </w:p>
        </w:tc>
        <w:tc>
          <w:tcPr>
            <w:tcW w:type="dxa" w:w="5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dm-insights.service. 6 modules: Indexer, Trend Engine, Entity Extractor, Anomaly Detector, NL Query Engine, Report Generator. /dm/insights/ API (28 endpoints). Entity graph. BI export.</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v1.1 spec</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Go-Live &amp; Operational Readiness</w:t>
            </w:r>
          </w:p>
        </w:tc>
        <w:tc>
          <w:tcPr>
            <w:tcW w:type="dxa" w:w="5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4-tier pricing model. Three-channel offline activation. Shamir key recovery. ARM64 deployment path (RPi 5, Jetson). Multi-language OCR matrix. ISO signing. Vendor ops playbook. Customer onboarding. v1.0→v1.2 roadmap.</w:t>
            </w:r>
          </w:p>
        </w:tc>
        <w:tc>
          <w:tcPr>
            <w:tcW w:type="dxa" w:w="1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v1.0–v1.2</w:t>
            </w:r>
          </w:p>
        </w:tc>
      </w:tr>
    </w:tbl>
    <w:p>
      <w:pPr>
        <w:spacing w:before="0" w:after="120"/>
      </w:pPr>
      <w:r>
        <w:t xml:space="preserve"/>
      </w:r>
    </w:p>
    <w:p>
      <w:pPr>
        <w:pStyle w:val="Heading2"/>
        <w:spacing w:before="360" w:after="120"/>
      </w:pPr>
      <w:r>
        <w:rPr>
          <w:rFonts w:ascii="Arial" w:cs="Arial" w:eastAsia="Arial" w:hAnsi="Arial"/>
          <w:b/>
          <w:bCs/>
          <w:color w:val="0E7490"/>
          <w:sz w:val="30"/>
          <w:szCs w:val="30"/>
        </w:rPr>
        <w:t xml:space="preserve">11.1 What DocMaster Is</w:t>
      </w:r>
    </w:p>
    <w:p>
      <w:pPr>
        <w:spacing w:before="60" w:after="100"/>
      </w:pPr>
      <w:r>
        <w:rPr>
          <w:rFonts w:ascii="Arial" w:cs="Arial" w:eastAsia="Arial" w:hAnsi="Arial"/>
          <w:color w:val="334155"/>
          <w:sz w:val="22"/>
          <w:szCs w:val="22"/>
        </w:rPr>
        <w:t xml:space="preserve">DocMaster is a closed-source, self-hosted, air-gapped document intelligence appliance. It ingests documents from any source — scanner, fax, email, USB, API — processes them through a cascaded OCR and local LLM extraction pipeline, stores structured records in an encrypted local vault, surfaces analytics and entity intelligence across the entire collection, and operates without any dependency on cloud services, internet connectivity, or subscription metering.</w:t>
      </w:r>
    </w:p>
    <w:p>
      <w:pPr>
        <w:spacing w:before="0" w:after="80"/>
      </w:pPr>
      <w:r>
        <w:t xml:space="preserve"/>
      </w:r>
    </w:p>
    <w:p>
      <w:pPr>
        <w:spacing w:before="60" w:after="100"/>
      </w:pPr>
      <w:r>
        <w:rPr>
          <w:rFonts w:ascii="Arial" w:cs="Arial" w:eastAsia="Arial" w:hAnsi="Arial"/>
          <w:color w:val="334155"/>
          <w:sz w:val="22"/>
          <w:szCs w:val="22"/>
        </w:rPr>
        <w:t xml:space="preserve">It is designed for institutions in developing nations and infrastructure-limited environments: land registries, hospitals, customs offices, courts, and NGOs that hold years or decades of paper records and need to digitise them intelligently, affordably, and without sending sensitive national data to foreign cloud providers.</w:t>
      </w:r>
    </w:p>
    <w:p>
      <w:pPr>
        <w:spacing w:before="0" w:after="80"/>
      </w:pPr>
      <w:r>
        <w:t xml:space="preserve"/>
      </w:r>
    </w:p>
    <w:p>
      <w:pPr>
        <w:spacing w:before="60" w:after="100"/>
      </w:pPr>
      <w:r>
        <w:rPr>
          <w:rFonts w:ascii="Arial" w:cs="Arial" w:eastAsia="Arial" w:hAnsi="Arial"/>
          <w:color w:val="334155"/>
          <w:sz w:val="22"/>
          <w:szCs w:val="22"/>
        </w:rPr>
        <w:t xml:space="preserve">It ships as a bootable Linux appliance on a USB drive or as a single-command installer script. A non-technical operator can have it running and processing documents within 3 hours of receiving the hardware. The total cost of ownership for a three-year deployment — hardware, software, and electricity — is under $8,000 for a full-capability site, breaking even against cloud-based alternatives within 18 months.</w:t>
      </w:r>
    </w:p>
    <w:p>
      <w:pPr>
        <w:spacing w:before="0" w:after="80"/>
      </w:pPr>
      <w:r>
        <w:t xml:space="preserve"/>
      </w:r>
    </w:p>
    <w:p>
      <w:pPr>
        <w:spacing w:before="60" w:after="100"/>
      </w:pPr>
      <w:r>
        <w:rPr>
          <w:rFonts w:ascii="Arial" w:cs="Arial" w:eastAsia="Arial" w:hAnsi="Arial"/>
          <w:color w:val="334155"/>
          <w:sz w:val="22"/>
          <w:szCs w:val="22"/>
        </w:rPr>
        <w:t xml:space="preserve">That is the product. Six phases. One complete specification.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DocMaster Phases 1–6 are complete. The specification covers the full product lifecycle from concept to live deployment: technical architecture, API design, database schema, installer engineering, insights analytics, pricing, licensing, multi-language OCR, ARM64 hardware variants, vendor operations, customer onboarding, and the v1.0 → v1.2 release roadmap.</w:t>
            </w:r>
          </w:p>
        </w:tc>
      </w:tr>
    </w:tbl>
    <w:p>
      <w:pPr>
        <w:spacing w:before="0" w:after="160"/>
      </w:pPr>
      <w:r>
        <w:t xml:space="preserve"/>
      </w:r>
    </w:p>
    <w:p>
      <w:pPr>
        <w:spacing w:before="0" w:after="0"/>
        <w:jc w:val="center"/>
      </w:pPr>
      <w:r>
        <w:rPr>
          <w:rFonts w:ascii="Arial" w:cs="Arial" w:eastAsia="Arial" w:hAnsi="Arial"/>
          <w:b/>
          <w:bCs/>
          <w:color w:val="94A3B8"/>
          <w:sz w:val="18"/>
          <w:szCs w:val="18"/>
        </w:rPr>
        <w:t xml:space="preserve">END OF DOCUMENT — DOCMASTER PHASE 6 — CONFIDENTIAL &amp; PROPRIETARY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DocMaster Document Intelligence Appliance  —  Proprietary &amp; Confidential</w:t>
    </w:r>
    <w: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DocMaster  |  Phase 6 — Go-Live &amp; Operational Readiness</w:t>
    </w:r>
    <w:r>
      <w:t xml:space="preserve">	</w:t>
    </w:r>
    <w:r>
      <w:rPr>
        <w:rFonts w:ascii="Arial" w:cs="Arial" w:eastAsia="Arial" w:hAnsi="Arial"/>
        <w:b/>
        <w:bCs/>
        <w:color w:val="0E749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93B"/>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0E749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2026-03-03T15:31:12.728Z</dcterms:created>
  <dcterms:modified xsi:type="dcterms:W3CDTF">2026-03-03T15:31:12.728Z</dcterms:modified>
</cp:coreProperties>
</file>

<file path=docProps/custom.xml><?xml version="1.0" encoding="utf-8"?>
<Properties xmlns="http://schemas.openxmlformats.org/officeDocument/2006/custom-properties" xmlns:vt="http://schemas.openxmlformats.org/officeDocument/2006/docPropsVTypes"/>
</file>