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Benefits</w:t>
      </w:r>
    </w:p>
    <w:p>
      <w:r>
        <w:t>Paragraph 1</w:t>
      </w:r>
    </w:p>
    <w:p>
      <w:r>
        <w:t>The National Compensation Survey (NCS), conducted by the U.S. Bureau of Labor Statistics, provides systematic data on employee benefits in both private and public sectors. The survey publishes information annually on access, participation, and key provisions of employer-sponsored programs such as retirement, healthcare, life insurance, disability, and leave benefits. It distinguishes between access (whether a plan is offered), participation (whether employees enroll), and take-up rates (the percentage of employees with access who participate).</w:t>
      </w:r>
    </w:p>
    <w:p>
      <w:r>
        <w:t>Paragraph 2</w:t>
      </w:r>
    </w:p>
    <w:p>
      <w:r>
        <w:t>Retirement benefits are a major component of compensation and are classified into defined benefit and defined contribution plans. Defined benefit plans guarantee retirement payouts based on formulas that consider salary, service years, and age, whereas defined contribution plans depend on contributions and investment returns. These two models differ significantly in how risks and rewards are shared between employers and employees.</w:t>
      </w:r>
    </w:p>
    <w:p>
      <w:r>
        <w:t>Paragraph 3</w:t>
      </w:r>
    </w:p>
    <w:p>
      <w:r>
        <w:t>Defined benefit plans include traditional formulas, such as calculating benefits based on career or terminal earnings, fixed dollar amounts per year of service, or percentages of employer contributions. Nontraditional formulas, including cash balance and pension equity plans, credit employees annually with amounts that can later be converted into lump sums or annuities. Some defined benefit plans are frozen, either limiting new enrollees (soft freeze), halting accruals (hard freeze), or terminating benefits altogether.</w:t>
      </w:r>
    </w:p>
    <w:p>
      <w:r>
        <w:t>Paragraph 4</w:t>
      </w:r>
    </w:p>
    <w:p>
      <w:r>
        <w:t>Defined benefit plans may distribute benefits through various payment options. A straight-life annuity provides payments for the retiree’s lifetime only, while a joint-and-survivor annuity extends reduced payments to a surviving spouse. Other models include granting a spouse a share of the unreduced benefit or offering lump-sum payouts. These methods illustrate the flexibility employers use in structuring retirement security.</w:t>
      </w:r>
    </w:p>
    <w:p>
      <w:r>
        <w:t>Paragraph 5</w:t>
      </w:r>
    </w:p>
    <w:p>
      <w:r>
        <w:t>Defined contribution plans encompass a wide array of vehicles such as 401(k)-type savings and thrift plans, money purchase pension plans, profit-sharing arrangements, employee stock ownership plans (ESOPs), and individual retirement accounts (IRAs, including traditional, Roth, SEP, and SIMPLE). Employers may match or contribute according to profits, percentages of salary, or fixed formulas, while employees contribute on a pre-tax or post-tax basis within IRS limits. Some options are tailored to small businesses, such as SIMPLE plans for firms with fewer than 100 workers.</w:t>
      </w:r>
    </w:p>
    <w:p>
      <w:r>
        <w:t>Paragraph 6</w:t>
      </w:r>
    </w:p>
    <w:p>
      <w:r>
        <w:t>Healthcare benefits are another cornerstone of employee compensation, ranging from medical, dental, and vision coverage to prescription drugs and specialized accounts. Medical plans may follow different structures: indemnity, HMOs, PPOs, POS, EPOs, consumer-driven health plans, and high-deductible health plans. Each offers a balance of provider choice, cost-sharing, and preventive care incentives. Plans also impose limitations, including deductibles, coinsurance, copayments, internal caps, and out-of-pocket maximums.</w:t>
      </w:r>
    </w:p>
    <w:p>
      <w:r>
        <w:t>Paragraph 7</w:t>
      </w:r>
    </w:p>
    <w:p>
      <w:r>
        <w:t>In addition to general medical coverage, employers often provide dental and vision care, as well as prescription drug benefits. Plans may promote cost efficiency by encouraging use of generic drugs, formularies, or mail-order systems. Supplemental health-related benefits include health savings accounts (HSAs), health reimbursement arrangements (HRAs), flexible spending accounts (FSAs), dependent care accounts, long-term care insurance, and retiree healthcare plans. These instruments extend protection and flexibility while managing costs for both employees and employers.</w:t>
      </w:r>
    </w:p>
    <w:p>
      <w:r>
        <w:t>Paragraph 8</w:t>
      </w:r>
    </w:p>
    <w:p>
      <w:r>
        <w:t>Life insurance benefits are typically offered as lump-sum payments to beneficiaries, with formulas based on multiples of earnings, fixed-dollar amounts, or variable structures considering salary and service. Disability benefits, by contrast, protect against income loss due to non-work-related illness or injury. Short-term disability plans usually cover up to 12 months, while long-term disability extends until retirement or a fixed age. Plans may be insured, self-funded, or employer-administered, often requiring waiting periods before benefits begin.</w:t>
      </w:r>
    </w:p>
    <w:p>
      <w:r>
        <w:t>Paragraph 9</w:t>
      </w:r>
    </w:p>
    <w:p>
      <w:r>
        <w:t>Paid and unpaid leave benefits represent another vital part of total compensation. The Family and Medical Leave Act ensures unpaid family leave in certain cases, while employers may also offer paid family leave, maternity or paternity leave, sick leave, vacations, holidays, jury duty leave, military leave, funeral leave, and personal leave. Consolidated leave plans combine various categories into a single pool, giving employees greater flexibility in managing time off.</w:t>
      </w:r>
    </w:p>
    <w:p>
      <w:r>
        <w:t>Paragraph 10</w:t>
      </w:r>
    </w:p>
    <w:p>
      <w:r>
        <w:t>Finally, employers may provide “other benefits” aimed at enhancing quality of life, including childcare assistance, flexible benefit plans (“cafeteria” plans), or additional noncash perks. These offerings complement the core benefits of retirement, healthcare, insurance, disability, and leave by addressing diverse workforce needs. Together, the NCS glossary provides a structured vocabulary for understanding how U.S. employers design and deliver benefit programs, enabling consistent measurement and comparison across industries and sectors.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