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56"/>
          <w:szCs w:val="56"/>
        </w:rPr>
        <w:t xml:space="preserve">CareerCompass</w:t>
      </w:r>
    </w:p>
    <w:p>
      <w:pPr>
        <w:spacing w:after="100"/>
        <w:jc w:val="center"/>
      </w:pPr>
      <w:r>
        <w:rPr>
          <w:b/>
          <w:bCs/>
          <w:color w:val="2E75B6"/>
          <w:sz w:val="32"/>
          <w:szCs w:val="32"/>
        </w:rPr>
        <w:t xml:space="preserve">Backend ↔ AI / Data Analysis Service</w:t>
      </w:r>
    </w:p>
    <w:p>
      <w:pPr>
        <w:spacing w:after="600"/>
        <w:jc w:val="center"/>
      </w:pPr>
      <w:r>
        <w:rPr>
          <w:color w:val="595959"/>
          <w:sz w:val="26"/>
          <w:szCs w:val="26"/>
        </w:rPr>
        <w:t xml:space="preserve">Integration Contract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3864" w:val="clear"/>
            <w:tcMar>
              <w:top w:type="dxa" w:w="80"/>
              <w:left w:type="dxa" w:w="100"/>
              <w:bottom w:type="dxa" w:w="80"/>
              <w:right w:type="dxa" w:w="100"/>
            </w:tcMar>
          </w:tcPr>
          <w:p>
            <w:r>
              <w:rPr>
                <w:b/>
                <w:bCs/>
                <w:color w:val="FFFFFF"/>
                <w:sz w:val="19"/>
                <w:szCs w:val="19"/>
              </w:rPr>
              <w:t xml:space="preserve">Java Backend Owner</w:t>
            </w:r>
          </w:p>
        </w:tc>
        <w:tc>
          <w:tcPr>
            <w:tcW w:type="dxa" w:w="6240"/>
            <w:tcMar>
              <w:top w:type="dxa" w:w="80"/>
              <w:left w:type="dxa" w:w="100"/>
              <w:bottom w:type="dxa" w:w="80"/>
              <w:right w:type="dxa" w:w="100"/>
            </w:tcMar>
          </w:tcPr>
          <w:p>
            <w:r>
              <w:rPr>
                <w:b w:val="false"/>
                <w:bCs w:val="false"/>
                <w:color w:val="000000"/>
                <w:sz w:val="19"/>
                <w:szCs w:val="19"/>
              </w:rPr>
              <w:t xml:space="preserve">Basil Mohammad</w:t>
            </w:r>
          </w:p>
        </w:tc>
      </w:tr>
      <w:tr>
        <w:tc>
          <w:tcPr>
            <w:tcW w:type="dxa" w:w="3120"/>
            <w:shd w:fill="1F3864" w:val="clear"/>
            <w:tcMar>
              <w:top w:type="dxa" w:w="80"/>
              <w:left w:type="dxa" w:w="100"/>
              <w:bottom w:type="dxa" w:w="80"/>
              <w:right w:type="dxa" w:w="100"/>
            </w:tcMar>
          </w:tcPr>
          <w:p>
            <w:r>
              <w:rPr>
                <w:b/>
                <w:bCs/>
                <w:color w:val="FFFFFF"/>
                <w:sz w:val="19"/>
                <w:szCs w:val="19"/>
              </w:rPr>
              <w:t xml:space="preserve">AI / Data Analysis Service Owner</w:t>
            </w:r>
          </w:p>
        </w:tc>
        <w:tc>
          <w:tcPr>
            <w:tcW w:type="dxa" w:w="6240"/>
            <w:tcMar>
              <w:top w:type="dxa" w:w="80"/>
              <w:left w:type="dxa" w:w="100"/>
              <w:bottom w:type="dxa" w:w="80"/>
              <w:right w:type="dxa" w:w="100"/>
            </w:tcMar>
          </w:tcPr>
          <w:p>
            <w:r>
              <w:rPr>
                <w:b w:val="false"/>
                <w:bCs w:val="false"/>
                <w:color w:val="000000"/>
                <w:sz w:val="19"/>
                <w:szCs w:val="19"/>
              </w:rPr>
              <w:t xml:space="preserve">Mohammed Al-Madhoun</w:t>
            </w:r>
          </w:p>
        </w:tc>
      </w:tr>
      <w:tr>
        <w:tc>
          <w:tcPr>
            <w:tcW w:type="dxa" w:w="3120"/>
            <w:shd w:fill="1F3864" w:val="clear"/>
            <w:tcMar>
              <w:top w:type="dxa" w:w="80"/>
              <w:left w:type="dxa" w:w="100"/>
              <w:bottom w:type="dxa" w:w="80"/>
              <w:right w:type="dxa" w:w="100"/>
            </w:tcMar>
          </w:tcPr>
          <w:p>
            <w:r>
              <w:rPr>
                <w:b/>
                <w:bCs/>
                <w:color w:val="FFFFFF"/>
                <w:sz w:val="19"/>
                <w:szCs w:val="19"/>
              </w:rPr>
              <w:t xml:space="preserve">Transport</w:t>
            </w:r>
          </w:p>
        </w:tc>
        <w:tc>
          <w:tcPr>
            <w:tcW w:type="dxa" w:w="6240"/>
            <w:tcMar>
              <w:top w:type="dxa" w:w="80"/>
              <w:left w:type="dxa" w:w="100"/>
              <w:bottom w:type="dxa" w:w="80"/>
              <w:right w:type="dxa" w:w="100"/>
            </w:tcMar>
          </w:tcPr>
          <w:p>
            <w:r>
              <w:rPr>
                <w:b w:val="false"/>
                <w:bCs w:val="false"/>
                <w:color w:val="000000"/>
                <w:sz w:val="19"/>
                <w:szCs w:val="19"/>
              </w:rPr>
              <w:t xml:space="preserve">REST over HTTP, JSON bodies, all calls are POST</w:t>
            </w:r>
          </w:p>
        </w:tc>
      </w:tr>
      <w:tr>
        <w:tc>
          <w:tcPr>
            <w:tcW w:type="dxa" w:w="3120"/>
            <w:shd w:fill="1F3864" w:val="clear"/>
            <w:tcMar>
              <w:top w:type="dxa" w:w="80"/>
              <w:left w:type="dxa" w:w="100"/>
              <w:bottom w:type="dxa" w:w="80"/>
              <w:right w:type="dxa" w:w="100"/>
            </w:tcMar>
          </w:tcPr>
          <w:p>
            <w:r>
              <w:rPr>
                <w:b/>
                <w:bCs/>
                <w:color w:val="FFFFFF"/>
                <w:sz w:val="19"/>
                <w:szCs w:val="19"/>
              </w:rPr>
              <w:t xml:space="preserve">Base URL</w:t>
            </w:r>
          </w:p>
        </w:tc>
        <w:tc>
          <w:tcPr>
            <w:tcW w:type="dxa" w:w="624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careercompass.ai-service.base-url (configured on the Java side)</w:t>
            </w:r>
          </w:p>
        </w:tc>
      </w:tr>
      <w:tr>
        <w:tc>
          <w:tcPr>
            <w:tcW w:type="dxa" w:w="3120"/>
            <w:shd w:fill="1F3864" w:val="clear"/>
            <w:tcMar>
              <w:top w:type="dxa" w:w="80"/>
              <w:left w:type="dxa" w:w="100"/>
              <w:bottom w:type="dxa" w:w="80"/>
              <w:right w:type="dxa" w:w="100"/>
            </w:tcMar>
          </w:tcPr>
          <w:p>
            <w:r>
              <w:rPr>
                <w:b/>
                <w:bCs/>
                <w:color w:val="FFFFFF"/>
                <w:sz w:val="19"/>
                <w:szCs w:val="19"/>
              </w:rPr>
              <w:t xml:space="preserve">Timeout</w:t>
            </w:r>
          </w:p>
        </w:tc>
        <w:tc>
          <w:tcPr>
            <w:tcW w:type="dxa" w:w="6240"/>
            <w:tcMar>
              <w:top w:type="dxa" w:w="80"/>
              <w:left w:type="dxa" w:w="100"/>
              <w:bottom w:type="dxa" w:w="80"/>
              <w:right w:type="dxa" w:w="100"/>
            </w:tcMar>
          </w:tcPr>
          <w:p>
            <w:r>
              <w:rPr>
                <w:b w:val="false"/>
                <w:bCs w:val="false"/>
                <w:color w:val="000000"/>
                <w:sz w:val="19"/>
                <w:szCs w:val="19"/>
              </w:rPr>
              <w:t xml:space="preserve">careercompass.ai-service.timeout-seconds (default 30s)</w:t>
            </w:r>
          </w:p>
        </w:tc>
      </w:tr>
    </w:tbl>
    <w:p>
      <w:r>
        <w:br w:type="page"/>
      </w:r>
    </w:p>
    <w:p>
      <w:pPr>
        <w:pStyle w:val="Heading1"/>
        <w:spacing w:after="200" w:before="400"/>
      </w:pPr>
      <w:r>
        <w:rPr>
          <w:b/>
          <w:bCs/>
          <w:color w:val="1F3864"/>
          <w:sz w:val="30"/>
          <w:szCs w:val="30"/>
        </w:rPr>
        <w:t xml:space="preserve">Introduction</w:t>
      </w:r>
    </w:p>
    <w:p>
      <w:pPr>
        <w:spacing w:after="160"/>
      </w:pPr>
      <w:r>
        <w:rPr>
          <w:sz w:val="21"/>
          <w:szCs w:val="21"/>
        </w:rPr>
        <w:t xml:space="preserve">CareerCompass is split into two independently-deployable services that communicate over a plain REST contract:</w:t>
      </w:r>
    </w:p>
    <w:p>
      <w:pPr>
        <w:pStyle w:val="ListParagraph"/>
        <w:numPr>
          <w:ilvl w:val="0"/>
          <w:numId w:val="2"/>
        </w:numPr>
        <w:spacing w:after="80"/>
      </w:pPr>
      <w:r>
        <w:rPr>
          <w:sz w:val="21"/>
          <w:szCs w:val="21"/>
        </w:rPr>
        <w:t xml:space="preserve">The Java Spring Boot backend — owns authentication, all persistence (MySQL), business logic, and every user-facing endpoint.</w:t>
      </w:r>
    </w:p>
    <w:p>
      <w:pPr>
        <w:pStyle w:val="ListParagraph"/>
        <w:numPr>
          <w:ilvl w:val="0"/>
          <w:numId w:val="2"/>
        </w:numPr>
        <w:spacing w:after="80"/>
      </w:pPr>
      <w:r>
        <w:rPr>
          <w:sz w:val="21"/>
          <w:szCs w:val="21"/>
        </w:rPr>
        <w:t xml:space="preserve">The Python/FastAPI Data Analysis service — owns all AI/ML processing: NLP-based transcript parsing, embeddings, LLM calls, and semantic retrieval. Not every step uses an LLM — see the module breakdown below for which ones do.</w:t>
      </w:r>
    </w:p>
    <w:p>
      <w:pPr>
        <w:spacing w:after="160"/>
      </w:pPr>
      <w:r>
        <w:rPr>
          <w:sz w:val="21"/>
          <w:szCs w:val="21"/>
        </w:rPr>
        <w:t xml:space="preserve">The backend never calls an external LLM provider directly, and has no API keys for any AI provider. Every AI-dependent feature in CareerCompass is reached through a single interface on the Java side (DataAnalysisClient), which forwards the request to the Data Analysis service over HTTP and receives a structured JSON response back. This keeps the two services fully decoupled — the LLM provider can be swapped (Claude Haiku, GPT-4o-mini, Gemini Flash, or a local Mistral model) purely by changing the Data Analysis service's configuration, with zero changes to the Java backend.</w:t>
      </w:r>
    </w:p>
    <w:p>
      <w:pPr>
        <w:pStyle w:val="Heading2"/>
        <w:spacing w:after="150" w:before="300"/>
      </w:pPr>
      <w:r>
        <w:rPr>
          <w:b/>
          <w:bCs/>
          <w:color w:val="2E75B6"/>
          <w:sz w:val="24"/>
          <w:szCs w:val="24"/>
        </w:rPr>
        <w:t xml:space="preserve">Functionalities &amp; Services Owned by the AI / Data Analysis Layer</w:t>
      </w:r>
    </w:p>
    <w:p>
      <w:pPr>
        <w:spacing w:after="160"/>
      </w:pPr>
      <w:r>
        <w:rPr>
          <w:sz w:val="21"/>
          <w:szCs w:val="21"/>
        </w:rPr>
        <w:t xml:space="preserve">The Data Analysis service is responsible for six core pipeline modules, plus the supporting infrastructure that makes them reliable, swappable, and cost-controlled.</w:t>
      </w:r>
    </w:p>
    <w:p>
      <w:pPr>
        <w:pStyle w:val="Heading3"/>
        <w:spacing w:after="100" w:before="200"/>
      </w:pPr>
      <w:r>
        <w:rPr>
          <w:b/>
          <w:bCs/>
          <w:color w:val="1F3864"/>
          <w:sz w:val="21"/>
          <w:szCs w:val="21"/>
        </w:rPr>
        <w:t xml:space="preserve">Core Pipeline Modules</w:t>
      </w:r>
    </w:p>
    <w:p>
      <w:pPr>
        <w:pStyle w:val="ListParagraph"/>
        <w:numPr>
          <w:ilvl w:val="0"/>
          <w:numId w:val="2"/>
        </w:numPr>
        <w:spacing w:after="80"/>
      </w:pPr>
      <w:r>
        <w:rPr>
          <w:sz w:val="21"/>
          <w:szCs w:val="21"/>
        </w:rPr>
        <w:t xml:space="preserve">Module 1 — Transcript Analysis: parses the uploaded transcript PDF (pdfplumber) and runs it through a dedicated NLP pipeline to extract structured data (course code, name, grade), flagging low-confidence rows for student review. This step is NLP-based, not an LLM call.</w:t>
      </w:r>
    </w:p>
    <w:p>
      <w:pPr>
        <w:pStyle w:val="ListParagraph"/>
        <w:numPr>
          <w:ilvl w:val="0"/>
          <w:numId w:val="2"/>
        </w:numPr>
        <w:spacing w:after="80"/>
      </w:pPr>
      <w:r>
        <w:rPr>
          <w:sz w:val="21"/>
          <w:szCs w:val="21"/>
        </w:rPr>
        <w:t xml:space="preserve">Module 2 — Skill Vector Construction: deterministic mapping of grades to skill scores. No LLM involved — pure computed logic.</w:t>
      </w:r>
    </w:p>
    <w:p>
      <w:pPr>
        <w:pStyle w:val="ListParagraph"/>
        <w:numPr>
          <w:ilvl w:val="0"/>
          <w:numId w:val="2"/>
        </w:numPr>
        <w:spacing w:after="80"/>
      </w:pPr>
      <w:r>
        <w:rPr>
          <w:sz w:val="21"/>
          <w:szCs w:val="21"/>
        </w:rPr>
        <w:t xml:space="preserve">Module 3 — Skill-Gap Analysis &amp; Dashboard: compares the skill vector against the target career path's required levels, classifies each skill Strong / Moderate / Weak, and has an LLM write a short explanation of the already-computed gap.</w:t>
      </w:r>
    </w:p>
    <w:p>
      <w:pPr>
        <w:pStyle w:val="ListParagraph"/>
        <w:numPr>
          <w:ilvl w:val="0"/>
          <w:numId w:val="2"/>
        </w:numPr>
        <w:spacing w:after="80"/>
      </w:pPr>
      <w:r>
        <w:rPr>
          <w:sz w:val="21"/>
          <w:szCs w:val="21"/>
        </w:rPr>
        <w:t xml:space="preserve">Module 4 — Course Recommendation: performs a top-k semantic search over the course catalog (ChromaDB) for each weak skill, then an LLM re-ranks and explains the shortlist.</w:t>
      </w:r>
    </w:p>
    <w:p>
      <w:pPr>
        <w:pStyle w:val="ListParagraph"/>
        <w:numPr>
          <w:ilvl w:val="0"/>
          <w:numId w:val="2"/>
        </w:numPr>
        <w:spacing w:after="80"/>
      </w:pPr>
      <w:r>
        <w:rPr>
          <w:sz w:val="21"/>
          <w:szCs w:val="21"/>
        </w:rPr>
        <w:t xml:space="preserve">Module 5 — Quiz Generation: LLM generates multiple-choice questions for a course, validated so each question has exactly one correct option.</w:t>
      </w:r>
    </w:p>
    <w:p>
      <w:pPr>
        <w:pStyle w:val="ListParagraph"/>
        <w:numPr>
          <w:ilvl w:val="0"/>
          <w:numId w:val="2"/>
        </w:numPr>
        <w:spacing w:after="80"/>
      </w:pPr>
      <w:r>
        <w:rPr>
          <w:sz w:val="21"/>
          <w:szCs w:val="21"/>
        </w:rPr>
        <w:t xml:space="preserve">Module 6 — Job &amp; Mentor Matching: embedding + cosine-similarity match between a student's skill profile and a job posting (or mentor), with a short LLM-written explanation of the match.</w:t>
      </w:r>
    </w:p>
    <w:p>
      <w:pPr>
        <w:spacing w:after="160"/>
      </w:pPr>
      <w:r>
        <w:rPr>
          <w:sz w:val="21"/>
          <w:szCs w:val="21"/>
        </w:rPr>
        <w:t xml:space="preserve">Across the pipeline, the LLM is used selectively — for generation tasks where it adds clear value (writing explanations, re-ranking/explaining course picks, generating quiz questions), not for the deterministic or NLP-based steps (skill scoring, transcript field extraction).</w:t>
      </w:r>
    </w:p>
    <w:p>
      <w:pPr>
        <w:pStyle w:val="Heading3"/>
        <w:spacing w:after="100" w:before="200"/>
      </w:pPr>
      <w:r>
        <w:rPr>
          <w:b/>
          <w:bCs/>
          <w:color w:val="1F3864"/>
          <w:sz w:val="21"/>
          <w:szCs w:val="21"/>
        </w:rPr>
        <w:t xml:space="preserve">Supporting Infrastructure</w:t>
      </w:r>
    </w:p>
    <w:p>
      <w:pPr>
        <w:pStyle w:val="ListParagraph"/>
        <w:numPr>
          <w:ilvl w:val="0"/>
          <w:numId w:val="2"/>
        </w:numPr>
        <w:spacing w:after="80"/>
      </w:pPr>
      <w:r>
        <w:rPr>
          <w:sz w:val="21"/>
          <w:szCs w:val="21"/>
        </w:rPr>
        <w:t xml:space="preserve">LLM Gateway — a single module that routes all generative calls, making the LLM provider swappable purely by configuration (default: Claude Haiku 4.5 via OpenRouter, with Gemini Flash / GPT-4o-mini as drop-in alternatives).</w:t>
      </w:r>
    </w:p>
    <w:p>
      <w:pPr>
        <w:pStyle w:val="ListParagraph"/>
        <w:numPr>
          <w:ilvl w:val="0"/>
          <w:numId w:val="2"/>
        </w:numPr>
        <w:spacing w:after="80"/>
      </w:pPr>
      <w:r>
        <w:rPr>
          <w:sz w:val="21"/>
          <w:szCs w:val="21"/>
        </w:rPr>
        <w:t xml:space="preserve">Fallback chain — cloud LLM → local LLM (Ollama + Mistral 7B) → rule/grade-based logic, so a single provider outage never blocks core results.</w:t>
      </w:r>
    </w:p>
    <w:p>
      <w:pPr>
        <w:pStyle w:val="ListParagraph"/>
        <w:numPr>
          <w:ilvl w:val="0"/>
          <w:numId w:val="2"/>
        </w:numPr>
        <w:spacing w:after="80"/>
      </w:pPr>
      <w:r>
        <w:rPr>
          <w:sz w:val="21"/>
          <w:szCs w:val="21"/>
        </w:rPr>
        <w:t xml:space="preserve">Retry logic — transient LLM API failures retried automatically (up to 3×, exponential backoff) before an error is surfaced.</w:t>
      </w:r>
    </w:p>
    <w:p>
      <w:pPr>
        <w:pStyle w:val="ListParagraph"/>
        <w:numPr>
          <w:ilvl w:val="0"/>
          <w:numId w:val="2"/>
        </w:numPr>
        <w:spacing w:after="80"/>
      </w:pPr>
      <w:r>
        <w:rPr>
          <w:sz w:val="21"/>
          <w:szCs w:val="21"/>
        </w:rPr>
        <w:t xml:space="preserve">Local embeddings — generated with all-MiniLM-L6-v2 (sentence-transformers), so semantic retrieval itself incurs no external cost.</w:t>
      </w:r>
    </w:p>
    <w:p>
      <w:pPr>
        <w:pStyle w:val="ListParagraph"/>
        <w:numPr>
          <w:ilvl w:val="0"/>
          <w:numId w:val="2"/>
        </w:numPr>
        <w:spacing w:after="80"/>
      </w:pPr>
      <w:r>
        <w:rPr>
          <w:sz w:val="21"/>
          <w:szCs w:val="21"/>
        </w:rPr>
        <w:t xml:space="preserve">Vector store / retrieval — ChromaDB indexing and top-k retrieval for the course, job, and mentor catalogs — this is what prevents the system from recommending or inventing items that don't actually exist.</w:t>
      </w:r>
    </w:p>
    <w:p>
      <w:pPr>
        <w:pStyle w:val="ListParagraph"/>
        <w:numPr>
          <w:ilvl w:val="0"/>
          <w:numId w:val="2"/>
        </w:numPr>
        <w:spacing w:after="80"/>
      </w:pPr>
      <w:r>
        <w:rPr>
          <w:sz w:val="21"/>
          <w:szCs w:val="21"/>
        </w:rPr>
        <w:t xml:space="preserve">JSON-schema validation &amp; repair — every LLM output (extraction, quiz, summary) must conform to a defined schema; invalid responses are re-requested or repaired before being returned to the backend.</w:t>
      </w:r>
    </w:p>
    <w:p>
      <w:pPr>
        <w:pStyle w:val="ListParagraph"/>
        <w:numPr>
          <w:ilvl w:val="0"/>
          <w:numId w:val="2"/>
        </w:numPr>
        <w:spacing w:after="80"/>
      </w:pPr>
      <w:r>
        <w:rPr>
          <w:sz w:val="21"/>
          <w:szCs w:val="21"/>
        </w:rPr>
        <w:t xml:space="preserve">RAG grounding — explanation/summary generations are grounded in retrieved catalog data rather than the model's own memory, to reduce hallucination.</w:t>
      </w:r>
    </w:p>
    <w:p>
      <w:pPr>
        <w:pStyle w:val="Heading3"/>
        <w:spacing w:after="100" w:before="200"/>
      </w:pPr>
      <w:r>
        <w:rPr>
          <w:b/>
          <w:bCs/>
          <w:color w:val="1F3864"/>
          <w:sz w:val="21"/>
          <w:szCs w:val="21"/>
        </w:rPr>
        <w:t xml:space="preserve">Explicitly Not the AI Service's Responsibility</w:t>
      </w:r>
    </w:p>
    <w:p>
      <w:pPr>
        <w:pStyle w:val="ListParagraph"/>
        <w:numPr>
          <w:ilvl w:val="0"/>
          <w:numId w:val="2"/>
        </w:numPr>
        <w:spacing w:after="80"/>
      </w:pPr>
      <w:r>
        <w:rPr>
          <w:sz w:val="21"/>
          <w:szCs w:val="21"/>
        </w:rPr>
        <w:t xml:space="preserve">Persisting any results — the Java backend saves whatever the AI service returns.</w:t>
      </w:r>
    </w:p>
    <w:p>
      <w:pPr>
        <w:pStyle w:val="ListParagraph"/>
        <w:numPr>
          <w:ilvl w:val="0"/>
          <w:numId w:val="2"/>
        </w:numPr>
        <w:spacing w:after="80"/>
      </w:pPr>
      <w:r>
        <w:rPr>
          <w:sz w:val="21"/>
          <w:szCs w:val="21"/>
        </w:rPr>
        <w:t xml:space="preserve">Authentication, users, career paths, or job posting storage — all owned by the Java/MySQL side.</w:t>
      </w:r>
    </w:p>
    <w:p>
      <w:pPr>
        <w:pStyle w:val="ListParagraph"/>
        <w:numPr>
          <w:ilvl w:val="0"/>
          <w:numId w:val="2"/>
        </w:numPr>
        <w:spacing w:after="80"/>
      </w:pPr>
      <w:r>
        <w:rPr>
          <w:sz w:val="21"/>
          <w:szCs w:val="21"/>
        </w:rPr>
        <w:t xml:space="preserve">Resolving skill or course names to the Java database's numeric IDs — the contract deliberately uses names/strings, not foreign keys, to keep the two services decoupled.</w:t>
      </w:r>
    </w:p>
    <w:p>
      <w:r>
        <w:br w:type="page"/>
      </w:r>
    </w:p>
    <w:p>
      <w:pPr>
        <w:pStyle w:val="Heading1"/>
        <w:spacing w:after="200" w:before="400"/>
      </w:pPr>
      <w:r>
        <w:rPr>
          <w:b/>
          <w:bCs/>
          <w:color w:val="1F3864"/>
          <w:sz w:val="30"/>
          <w:szCs w:val="30"/>
        </w:rPr>
        <w:t xml:space="preserve">Integration Contract</w:t>
      </w:r>
    </w:p>
    <w:p>
      <w:pPr>
        <w:spacing w:after="160"/>
      </w:pPr>
      <w:r>
        <w:rPr>
          <w:sz w:val="21"/>
          <w:szCs w:val="21"/>
        </w:rPr>
        <w:t xml:space="preserve">The tables below define, endpoint by endpoint, exactly what the Java backend sends and exactly what the AI service is expected to send back. Field names and types match the Java DTOs in com.careercompass.integration.dto exactly — please mirror these field names in the FastAPI Pydantic models so no translation layer is needed on either side.</w:t>
      </w:r>
    </w:p>
    <w:p>
      <w:pPr>
        <w:pStyle w:val="Heading2"/>
        <w:spacing w:after="150" w:before="300"/>
      </w:pPr>
      <w:r>
        <w:rPr>
          <w:b/>
          <w:bCs/>
          <w:color w:val="2E75B6"/>
          <w:sz w:val="24"/>
          <w:szCs w:val="24"/>
        </w:rPr>
        <w:t xml:space="preserve">1. Transcript Extraction</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/transcript-extract</w:t>
      </w:r>
    </w:p>
    <w:p>
      <w:pPr>
        <w:spacing w:after="160"/>
      </w:pPr>
      <w:r>
        <w:rPr>
          <w:sz w:val="21"/>
          <w:szCs w:val="21"/>
        </w:rPr>
        <w:t xml:space="preserve">Parses an uploaded transcript PDF and converts it into structured course/grade data using a dedicated NLP pipeline — this step does not call an LLM.</w:t>
      </w:r>
    </w:p>
    <w:p>
      <w:pPr>
        <w:pStyle w:val="Heading3"/>
        <w:spacing w:after="100" w:before="200"/>
      </w:pPr>
      <w:r>
        <w:rPr>
          <w:b/>
          <w:bCs/>
          <w:color w:val="1F3864"/>
          <w:sz w:val="21"/>
          <w:szCs w:val="21"/>
        </w:rPr>
        <w:t xml:space="preserve">Backend sends (TranscriptExtractionRequest)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jobseekerId</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For logging/traceability only — not used to look anything up</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fileBase64</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The raw PDF file, base64-encoded</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originalFilename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Original filename as uploaded by the student</w:t>
            </w:r>
          </w:p>
        </w:tc>
      </w:tr>
    </w:tbl>
    <w:p>
      <w:pPr>
        <w:spacing w:before="100"/>
      </w:pPr>
    </w:p>
    <w:p>
      <w:pPr>
        <w:pStyle w:val="Heading3"/>
        <w:spacing w:after="100" w:before="200"/>
      </w:pPr>
      <w:r>
        <w:rPr>
          <w:b/>
          <w:bCs/>
          <w:color w:val="1F3864"/>
          <w:sz w:val="21"/>
          <w:szCs w:val="21"/>
        </w:rPr>
        <w:t xml:space="preserve">AI service returns (TranscriptExtractionResponse)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courses</w:t>
            </w:r>
          </w:p>
        </w:tc>
        <w:tc>
          <w:tcPr>
            <w:tcW w:type="dxa" w:w="1600"/>
            <w:tcMar>
              <w:top w:type="dxa" w:w="80"/>
              <w:left w:type="dxa" w:w="100"/>
              <w:bottom w:type="dxa" w:w="80"/>
              <w:right w:type="dxa" w:w="100"/>
            </w:tcMar>
          </w:tcPr>
          <w:p>
            <w:r>
              <w:rPr>
                <w:b w:val="false"/>
                <w:bCs w:val="false"/>
                <w:color w:val="000000"/>
                <w:sz w:val="19"/>
                <w:szCs w:val="19"/>
              </w:rPr>
              <w:t xml:space="preserve">array of ExtractedCourseDto</w:t>
            </w:r>
          </w:p>
        </w:tc>
        <w:tc>
          <w:tcPr>
            <w:tcW w:type="dxa" w:w="5300"/>
            <w:tcMar>
              <w:top w:type="dxa" w:w="80"/>
              <w:left w:type="dxa" w:w="100"/>
              <w:bottom w:type="dxa" w:w="80"/>
              <w:right w:type="dxa" w:w="100"/>
            </w:tcMar>
          </w:tcPr>
          <w:p>
            <w:r>
              <w:rPr>
                <w:b w:val="false"/>
                <w:bCs w:val="false"/>
                <w:color w:val="000000"/>
                <w:sz w:val="19"/>
                <w:szCs w:val="19"/>
              </w:rPr>
              <w:t xml:space="preserve">One entry per course found in the transcript</w:t>
            </w:r>
          </w:p>
        </w:tc>
      </w:tr>
    </w:tbl>
    <w:p>
      <w:pPr>
        <w:spacing w:after="80" w:before="150"/>
      </w:pPr>
      <w:r>
        <w:rPr>
          <w:b/>
          <w:bCs/>
          <w:i/>
          <w:iCs/>
          <w:color w:val="595959"/>
          <w:sz w:val="20"/>
          <w:szCs w:val="20"/>
        </w:rPr>
        <w:t xml:space="preserve">ExtractedCourseDto: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courseCode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grade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lowConfidence</w:t>
            </w:r>
          </w:p>
        </w:tc>
        <w:tc>
          <w:tcPr>
            <w:tcW w:type="dxa" w:w="1600"/>
            <w:tcMar>
              <w:top w:type="dxa" w:w="80"/>
              <w:left w:type="dxa" w:w="100"/>
              <w:bottom w:type="dxa" w:w="80"/>
              <w:right w:type="dxa" w:w="100"/>
            </w:tcMar>
          </w:tcPr>
          <w:p>
            <w:r>
              <w:rPr>
                <w:b w:val="false"/>
                <w:bCs w:val="false"/>
                <w:color w:val="000000"/>
                <w:sz w:val="19"/>
                <w:szCs w:val="19"/>
              </w:rPr>
              <w:t xml:space="preserve">boolean</w:t>
            </w:r>
          </w:p>
        </w:tc>
        <w:tc>
          <w:tcPr>
            <w:tcW w:type="dxa" w:w="5300"/>
            <w:tcMar>
              <w:top w:type="dxa" w:w="80"/>
              <w:left w:type="dxa" w:w="100"/>
              <w:bottom w:type="dxa" w:w="80"/>
              <w:right w:type="dxa" w:w="100"/>
            </w:tcMar>
          </w:tcPr>
          <w:p>
            <w:r>
              <w:rPr>
                <w:b w:val="false"/>
                <w:bCs w:val="false"/>
                <w:color w:val="000000"/>
                <w:sz w:val="19"/>
                <w:szCs w:val="19"/>
              </w:rPr>
              <w:t xml:space="preserve">true if extraction confidence was low — the student reviews/confirms flagged rows before anything is persisted</w:t>
            </w:r>
          </w:p>
        </w:tc>
      </w:tr>
    </w:tbl>
    <w:p>
      <w:pPr>
        <w:pBdr>
          <w:bottom w:val="single" w:color="BFBFBF" w:sz="6" w:space="1"/>
        </w:pBdr>
        <w:spacing w:after="200" w:before="200"/>
      </w:pPr>
    </w:p>
    <w:p>
      <w:pPr>
        <w:pStyle w:val="Heading2"/>
        <w:spacing w:after="150" w:before="300"/>
      </w:pPr>
      <w:r>
        <w:rPr>
          <w:b/>
          <w:bCs/>
          <w:color w:val="2E75B6"/>
          <w:sz w:val="24"/>
          <w:szCs w:val="24"/>
        </w:rPr>
        <w:t xml:space="preserve">2. Skill Vector Construction</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/skill-vector</w:t>
      </w:r>
    </w:p>
    <w:p>
      <w:pPr>
        <w:spacing w:after="160"/>
      </w:pPr>
      <w:r>
        <w:rPr>
          <w:sz w:val="21"/>
          <w:szCs w:val="21"/>
        </w:rPr>
        <w:t xml:space="preserve">Deterministic mapping from grades to skill scores. No LLM call needed for this one — it's pure logic.</w:t>
      </w:r>
    </w:p>
    <w:p>
      <w:pPr>
        <w:pStyle w:val="Heading3"/>
        <w:spacing w:after="100" w:before="200"/>
      </w:pPr>
      <w:r>
        <w:rPr>
          <w:b/>
          <w:bCs/>
          <w:color w:val="1F3864"/>
          <w:sz w:val="21"/>
          <w:szCs w:val="21"/>
        </w:rPr>
        <w:t xml:space="preserve">Backend sends (BuildSkillVectorRequest)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jobseekerId</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Logging/traceability only</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careerPathId</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courses</w:t>
            </w:r>
          </w:p>
        </w:tc>
        <w:tc>
          <w:tcPr>
            <w:tcW w:type="dxa" w:w="1600"/>
            <w:tcMar>
              <w:top w:type="dxa" w:w="80"/>
              <w:left w:type="dxa" w:w="100"/>
              <w:bottom w:type="dxa" w:w="80"/>
              <w:right w:type="dxa" w:w="100"/>
            </w:tcMar>
          </w:tcPr>
          <w:p>
            <w:r>
              <w:rPr>
                <w:b w:val="false"/>
                <w:bCs w:val="false"/>
                <w:color w:val="000000"/>
                <w:sz w:val="19"/>
                <w:szCs w:val="19"/>
              </w:rPr>
              <w:t xml:space="preserve">array of CourseGradeDto</w:t>
            </w:r>
          </w:p>
        </w:tc>
        <w:tc>
          <w:tcPr>
            <w:tcW w:type="dxa" w:w="5300"/>
            <w:tcMar>
              <w:top w:type="dxa" w:w="80"/>
              <w:left w:type="dxa" w:w="100"/>
              <w:bottom w:type="dxa" w:w="80"/>
              <w:right w:type="dxa" w:w="100"/>
            </w:tcMar>
          </w:tcPr>
          <w:p>
            <w:r>
              <w:rPr>
                <w:b w:val="false"/>
                <w:bCs w:val="false"/>
                <w:color w:val="000000"/>
                <w:sz w:val="19"/>
                <w:szCs w:val="19"/>
              </w:rPr>
              <w:t xml:space="preserve">The student's completed courses + grades</w:t>
            </w:r>
          </w:p>
        </w:tc>
      </w:tr>
    </w:tbl>
    <w:p>
      <w:pPr>
        <w:spacing w:after="80" w:before="150"/>
      </w:pPr>
      <w:r>
        <w:rPr>
          <w:b/>
          <w:bCs/>
          <w:i/>
          <w:iCs/>
          <w:color w:val="595959"/>
          <w:sz w:val="20"/>
          <w:szCs w:val="20"/>
        </w:rPr>
        <w:t xml:space="preserve">CourseGradeDto: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grade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bl>
    <w:p>
      <w:pPr>
        <w:spacing w:before="100"/>
      </w:pPr>
    </w:p>
    <w:p>
      <w:pPr>
        <w:pStyle w:val="Heading3"/>
        <w:spacing w:after="100" w:before="200"/>
      </w:pPr>
      <w:r>
        <w:rPr>
          <w:b/>
          <w:bCs/>
          <w:color w:val="1F3864"/>
          <w:sz w:val="21"/>
          <w:szCs w:val="21"/>
        </w:rPr>
        <w:t xml:space="preserve">AI service returns (SkillVectorResponse)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skills</w:t>
            </w:r>
          </w:p>
        </w:tc>
        <w:tc>
          <w:tcPr>
            <w:tcW w:type="dxa" w:w="1600"/>
            <w:tcMar>
              <w:top w:type="dxa" w:w="80"/>
              <w:left w:type="dxa" w:w="100"/>
              <w:bottom w:type="dxa" w:w="80"/>
              <w:right w:type="dxa" w:w="100"/>
            </w:tcMar>
          </w:tcPr>
          <w:p>
            <w:r>
              <w:rPr>
                <w:b w:val="false"/>
                <w:bCs w:val="false"/>
                <w:color w:val="000000"/>
                <w:sz w:val="19"/>
                <w:szCs w:val="19"/>
              </w:rPr>
              <w:t xml:space="preserve">array of SkillScoreDto</w:t>
            </w:r>
          </w:p>
        </w:tc>
        <w:tc>
          <w:tcPr>
            <w:tcW w:type="dxa" w:w="5300"/>
            <w:tcMar>
              <w:top w:type="dxa" w:w="80"/>
              <w:left w:type="dxa" w:w="100"/>
              <w:bottom w:type="dxa" w:w="80"/>
              <w:right w:type="dxa" w:w="100"/>
            </w:tcMar>
          </w:tcPr>
          <w:p>
            <w:r>
              <w:rPr>
                <w:b w:val="false"/>
                <w:bCs w:val="false"/>
                <w:color w:val="000000"/>
                <w:sz w:val="19"/>
                <w:szCs w:val="19"/>
              </w:rPr>
              <w:t xml:space="preserve">The computed skill vector</w:t>
            </w:r>
          </w:p>
        </w:tc>
      </w:tr>
    </w:tbl>
    <w:p>
      <w:pPr>
        <w:spacing w:after="80" w:before="150"/>
      </w:pPr>
      <w:r>
        <w:rPr>
          <w:b/>
          <w:bCs/>
          <w:i/>
          <w:iCs/>
          <w:color w:val="595959"/>
          <w:sz w:val="20"/>
          <w:szCs w:val="20"/>
        </w:rPr>
        <w:t xml:space="preserve">SkillScoreDto: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Matched by name, not ID — the two services don't share a database</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score</w:t>
            </w:r>
          </w:p>
        </w:tc>
        <w:tc>
          <w:tcPr>
            <w:tcW w:type="dxa" w:w="1600"/>
            <w:tcMar>
              <w:top w:type="dxa" w:w="80"/>
              <w:left w:type="dxa" w:w="100"/>
              <w:bottom w:type="dxa" w:w="80"/>
              <w:right w:type="dxa" w:w="100"/>
            </w:tcMar>
          </w:tcPr>
          <w:p>
            <w:r>
              <w:rPr>
                <w:b w:val="false"/>
                <w:bCs w:val="false"/>
                <w:color w:val="000000"/>
                <w:sz w:val="19"/>
                <w:szCs w:val="19"/>
              </w:rPr>
              <w:t xml:space="preserve">decimal</w:t>
            </w:r>
          </w:p>
        </w:tc>
        <w:tc>
          <w:tcPr>
            <w:tcW w:type="dxa" w:w="5300"/>
            <w:tcMar>
              <w:top w:type="dxa" w:w="80"/>
              <w:left w:type="dxa" w:w="100"/>
              <w:bottom w:type="dxa" w:w="80"/>
              <w:right w:type="dxa" w:w="100"/>
            </w:tcMar>
          </w:tcPr>
          <w:p>
            <w:r>
              <w:rPr>
                <w:b w:val="false"/>
                <w:bCs w:val="false"/>
                <w:color w:val="000000"/>
                <w:sz w:val="19"/>
                <w:szCs w:val="19"/>
              </w:rPr>
              <w:t xml:space="preserve">0–100</w:t>
            </w:r>
          </w:p>
        </w:tc>
      </w:tr>
    </w:tbl>
    <w:p>
      <w:pPr>
        <w:pBdr>
          <w:bottom w:val="single" w:color="BFBFBF" w:sz="6" w:space="1"/>
        </w:pBdr>
        <w:spacing w:after="200" w:before="200"/>
      </w:pPr>
    </w:p>
    <w:p>
      <w:pPr>
        <w:pStyle w:val="Heading2"/>
        <w:spacing w:after="150" w:before="300"/>
      </w:pPr>
      <w:r>
        <w:rPr>
          <w:b/>
          <w:bCs/>
          <w:color w:val="2E75B6"/>
          <w:sz w:val="24"/>
          <w:szCs w:val="24"/>
        </w:rPr>
        <w:t xml:space="preserve">3. Skill-Gap Analysis &amp; Dashboard</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/skill-gap</w:t>
      </w:r>
    </w:p>
    <w:p>
      <w:pPr>
        <w:spacing w:after="160"/>
      </w:pPr>
      <w:r>
        <w:rPr>
          <w:sz w:val="21"/>
          <w:szCs w:val="21"/>
        </w:rPr>
        <w:t xml:space="preserve">Compares an already-computed skill vector against the target career path's required levels, and classifies each skill.</w:t>
      </w:r>
    </w:p>
    <w:p>
      <w:pPr>
        <w:pStyle w:val="Heading3"/>
        <w:spacing w:after="100" w:before="200"/>
      </w:pPr>
      <w:r>
        <w:rPr>
          <w:b/>
          <w:bCs/>
          <w:color w:val="1F3864"/>
          <w:sz w:val="21"/>
          <w:szCs w:val="21"/>
        </w:rPr>
        <w:t xml:space="preserve">Backend sends (SkillGapAnalysisRequest)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careerPathId</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skillVector</w:t>
            </w:r>
          </w:p>
        </w:tc>
        <w:tc>
          <w:tcPr>
            <w:tcW w:type="dxa" w:w="1600"/>
            <w:tcMar>
              <w:top w:type="dxa" w:w="80"/>
              <w:left w:type="dxa" w:w="100"/>
              <w:bottom w:type="dxa" w:w="80"/>
              <w:right w:type="dxa" w:w="100"/>
            </w:tcMar>
          </w:tcPr>
          <w:p>
            <w:r>
              <w:rPr>
                <w:b w:val="false"/>
                <w:bCs w:val="false"/>
                <w:color w:val="000000"/>
                <w:sz w:val="19"/>
                <w:szCs w:val="19"/>
              </w:rPr>
              <w:t xml:space="preserve">array of SkillScoreDto</w:t>
            </w:r>
          </w:p>
        </w:tc>
        <w:tc>
          <w:tcPr>
            <w:tcW w:type="dxa" w:w="5300"/>
            <w:tcMar>
              <w:top w:type="dxa" w:w="80"/>
              <w:left w:type="dxa" w:w="100"/>
              <w:bottom w:type="dxa" w:w="80"/>
              <w:right w:type="dxa" w:w="100"/>
            </w:tcMar>
          </w:tcPr>
          <w:p>
            <w:r>
              <w:rPr>
                <w:b w:val="false"/>
                <w:bCs w:val="false"/>
                <w:color w:val="000000"/>
                <w:sz w:val="19"/>
                <w:szCs w:val="19"/>
              </w:rPr>
              <w:t xml:space="preserve">The output of Module 2, passed straight through</w:t>
            </w:r>
          </w:p>
        </w:tc>
      </w:tr>
    </w:tbl>
    <w:p>
      <w:pPr>
        <w:spacing w:before="100"/>
      </w:pPr>
    </w:p>
    <w:p>
      <w:pPr>
        <w:pStyle w:val="Heading3"/>
        <w:spacing w:after="100" w:before="200"/>
      </w:pPr>
      <w:r>
        <w:rPr>
          <w:b/>
          <w:bCs/>
          <w:color w:val="1F3864"/>
          <w:sz w:val="21"/>
          <w:szCs w:val="21"/>
        </w:rPr>
        <w:t xml:space="preserve">AI service returns (SkillGapAnalysisResponse)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skillGaps</w:t>
            </w:r>
          </w:p>
        </w:tc>
        <w:tc>
          <w:tcPr>
            <w:tcW w:type="dxa" w:w="1600"/>
            <w:tcMar>
              <w:top w:type="dxa" w:w="80"/>
              <w:left w:type="dxa" w:w="100"/>
              <w:bottom w:type="dxa" w:w="80"/>
              <w:right w:type="dxa" w:w="100"/>
            </w:tcMar>
          </w:tcPr>
          <w:p>
            <w:r>
              <w:rPr>
                <w:b w:val="false"/>
                <w:bCs w:val="false"/>
                <w:color w:val="000000"/>
                <w:sz w:val="19"/>
                <w:szCs w:val="19"/>
              </w:rPr>
              <w:t xml:space="preserve">array of SkillGapItemDto</w:t>
            </w:r>
          </w:p>
        </w:tc>
        <w:tc>
          <w:tcPr>
            <w:tcW w:type="dxa" w:w="5300"/>
            <w:tcMar>
              <w:top w:type="dxa" w:w="80"/>
              <w:left w:type="dxa" w:w="100"/>
              <w:bottom w:type="dxa" w:w="80"/>
              <w:right w:type="dxa" w:w="100"/>
            </w:tcMar>
          </w:tcPr>
          <w:p>
            <w:r>
              <w:rPr>
                <w:b w:val="false"/>
                <w:bCs w:val="false"/>
                <w:color w:val="000000"/>
                <w:sz w:val="19"/>
                <w:szCs w:val="19"/>
              </w:rPr>
              <w:t xml:space="preserve">One entry per skill</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overallReadinessPercent</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Overall readiness score for the career path</w:t>
            </w:r>
          </w:p>
        </w:tc>
      </w:tr>
    </w:tbl>
    <w:p>
      <w:pPr>
        <w:spacing w:after="80" w:before="150"/>
      </w:pPr>
      <w:r>
        <w:rPr>
          <w:b/>
          <w:bCs/>
          <w:i/>
          <w:iCs/>
          <w:color w:val="595959"/>
          <w:sz w:val="20"/>
          <w:szCs w:val="20"/>
        </w:rPr>
        <w:t xml:space="preserve">SkillGapItemDto: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currentScore</w:t>
            </w:r>
          </w:p>
        </w:tc>
        <w:tc>
          <w:tcPr>
            <w:tcW w:type="dxa" w:w="1600"/>
            <w:tcMar>
              <w:top w:type="dxa" w:w="80"/>
              <w:left w:type="dxa" w:w="100"/>
              <w:bottom w:type="dxa" w:w="80"/>
              <w:right w:type="dxa" w:w="100"/>
            </w:tcMar>
          </w:tcPr>
          <w:p>
            <w:r>
              <w:rPr>
                <w:b w:val="false"/>
                <w:bCs w:val="false"/>
                <w:color w:val="000000"/>
                <w:sz w:val="19"/>
                <w:szCs w:val="19"/>
              </w:rPr>
              <w:t xml:space="preserve">decimal</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targetScore</w:t>
            </w:r>
          </w:p>
        </w:tc>
        <w:tc>
          <w:tcPr>
            <w:tcW w:type="dxa" w:w="1600"/>
            <w:tcMar>
              <w:top w:type="dxa" w:w="80"/>
              <w:left w:type="dxa" w:w="100"/>
              <w:bottom w:type="dxa" w:w="80"/>
              <w:right w:type="dxa" w:w="100"/>
            </w:tcMar>
          </w:tcPr>
          <w:p>
            <w:r>
              <w:rPr>
                <w:b w:val="false"/>
                <w:bCs w:val="false"/>
                <w:color w:val="000000"/>
                <w:sz w:val="19"/>
                <w:szCs w:val="19"/>
              </w:rPr>
              <w:t xml:space="preserve">decimal</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classification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Must be exactly "Strong", "Moderate", or "Weak"</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explanation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Short LLM-written explanation of the already-computed gap — the LLM explains the number, it never produces it</w:t>
            </w:r>
          </w:p>
        </w:tc>
      </w:tr>
    </w:tbl>
    <w:p>
      <w:pPr>
        <w:pBdr>
          <w:bottom w:val="single" w:color="BFBFBF" w:sz="6" w:space="1"/>
        </w:pBdr>
        <w:spacing w:after="200" w:before="200"/>
      </w:pPr>
    </w:p>
    <w:p>
      <w:pPr>
        <w:pStyle w:val="Heading2"/>
        <w:spacing w:after="150" w:before="300"/>
      </w:pPr>
      <w:r>
        <w:rPr>
          <w:b/>
          <w:bCs/>
          <w:color w:val="2E75B6"/>
          <w:sz w:val="24"/>
          <w:szCs w:val="24"/>
        </w:rPr>
        <w:t xml:space="preserve">4. Course Recommendation</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/course-recommendations</w:t>
      </w:r>
    </w:p>
    <w:p>
      <w:pPr>
        <w:spacing w:after="160"/>
      </w:pPr>
      <w:r>
        <w:rPr>
          <w:sz w:val="21"/>
          <w:szCs w:val="21"/>
        </w:rPr>
        <w:t xml:space="preserve">Semantic search over the course catalog for a student's weak skills; LLM re-ranks and explains the shortlist.</w:t>
      </w:r>
    </w:p>
    <w:p>
      <w:pPr>
        <w:pStyle w:val="Heading3"/>
        <w:spacing w:after="100" w:before="200"/>
      </w:pPr>
      <w:r>
        <w:rPr>
          <w:b/>
          <w:bCs/>
          <w:color w:val="1F3864"/>
          <w:sz w:val="21"/>
          <w:szCs w:val="21"/>
        </w:rPr>
        <w:t xml:space="preserve">Backend sends (CourseRecommendationRequest)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careerPathId</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weakSkillNames</w:t>
            </w:r>
          </w:p>
        </w:tc>
        <w:tc>
          <w:tcPr>
            <w:tcW w:type="dxa" w:w="1600"/>
            <w:tcMar>
              <w:top w:type="dxa" w:w="80"/>
              <w:left w:type="dxa" w:w="100"/>
              <w:bottom w:type="dxa" w:w="80"/>
              <w:right w:type="dxa" w:w="100"/>
            </w:tcMar>
          </w:tcPr>
          <w:p>
            <w:r>
              <w:rPr>
                <w:b w:val="false"/>
                <w:bCs w:val="false"/>
                <w:color w:val="000000"/>
                <w:sz w:val="19"/>
                <w:szCs w:val="19"/>
              </w:rPr>
              <w:t xml:space="preserve">array of strings</w:t>
            </w:r>
          </w:p>
        </w:tc>
        <w:tc>
          <w:tcPr>
            <w:tcW w:type="dxa" w:w="5300"/>
            <w:tcMar>
              <w:top w:type="dxa" w:w="80"/>
              <w:left w:type="dxa" w:w="100"/>
              <w:bottom w:type="dxa" w:w="80"/>
              <w:right w:type="dxa" w:w="100"/>
            </w:tcMar>
          </w:tcPr>
          <w:p>
            <w:r>
              <w:rPr>
                <w:b w:val="false"/>
                <w:bCs w:val="false"/>
                <w:color w:val="000000"/>
                <w:sz w:val="19"/>
                <w:szCs w:val="19"/>
              </w:rPr>
              <w:t xml:space="preserve">Skill names classified "Weak" in Module 3's output</w:t>
            </w:r>
          </w:p>
        </w:tc>
      </w:tr>
    </w:tbl>
    <w:p>
      <w:pPr>
        <w:spacing w:before="100"/>
      </w:pPr>
    </w:p>
    <w:p>
      <w:pPr>
        <w:pStyle w:val="Heading3"/>
        <w:spacing w:after="100" w:before="200"/>
      </w:pPr>
      <w:r>
        <w:rPr>
          <w:b/>
          <w:bCs/>
          <w:color w:val="1F3864"/>
          <w:sz w:val="21"/>
          <w:szCs w:val="21"/>
        </w:rPr>
        <w:t xml:space="preserve">AI service returns — a JSON array of RecommendedCourseDto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Must come from the curated catalog — never invented (NFR-AI-05)</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sourceLink</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Link to the actual course</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targetedSkillName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Which weak skill this course addresses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explanation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Short LLM-written reason this course was picked</w:t>
            </w:r>
          </w:p>
        </w:tc>
      </w:tr>
    </w:tbl>
    <w:p>
      <w:pPr>
        <w:pBdr>
          <w:bottom w:val="single" w:color="BFBFBF" w:sz="6" w:space="1"/>
        </w:pBdr>
        <w:spacing w:after="200" w:before="200"/>
      </w:pPr>
    </w:p>
    <w:p>
      <w:pPr>
        <w:pStyle w:val="Heading2"/>
        <w:spacing w:after="150" w:before="300"/>
      </w:pPr>
      <w:r>
        <w:rPr>
          <w:b/>
          <w:bCs/>
          <w:color w:val="2E75B6"/>
          <w:sz w:val="24"/>
          <w:szCs w:val="24"/>
        </w:rPr>
        <w:t xml:space="preserve">5. Quiz Generation</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/quiz-generate</w:t>
      </w:r>
    </w:p>
    <w:p>
      <w:pPr>
        <w:spacing w:after="160"/>
      </w:pPr>
      <w:r>
        <w:rPr>
          <w:sz w:val="21"/>
          <w:szCs w:val="21"/>
        </w:rPr>
        <w:t xml:space="preserve">Generates a multiple-choice quiz for a given course.</w:t>
      </w:r>
    </w:p>
    <w:p>
      <w:pPr>
        <w:pStyle w:val="Heading3"/>
        <w:spacing w:after="100" w:before="200"/>
      </w:pPr>
      <w:r>
        <w:rPr>
          <w:b/>
          <w:bCs/>
          <w:color w:val="1F3864"/>
          <w:sz w:val="21"/>
          <w:szCs w:val="21"/>
        </w:rPr>
        <w:t xml:space="preserve">Backend sends (QuizGenerationRequest)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courseName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questionCount</w:t>
            </w:r>
          </w:p>
        </w:tc>
        <w:tc>
          <w:tcPr>
            <w:tcW w:type="dxa" w:w="1600"/>
            <w:tcMar>
              <w:top w:type="dxa" w:w="80"/>
              <w:left w:type="dxa" w:w="100"/>
              <w:bottom w:type="dxa" w:w="80"/>
              <w:right w:type="dxa" w:w="100"/>
            </w:tcMar>
          </w:tcPr>
          <w:p>
            <w:r>
              <w:rPr>
                <w:b w:val="false"/>
                <w:bCs w:val="false"/>
                <w:color w:val="000000"/>
                <w:sz w:val="19"/>
                <w:szCs w:val="19"/>
              </w:rPr>
              <w:t xml:space="preserve">integer</w:t>
            </w:r>
          </w:p>
        </w:tc>
        <w:tc>
          <w:tcPr>
            <w:tcW w:type="dxa" w:w="5300"/>
            <w:tcMar>
              <w:top w:type="dxa" w:w="80"/>
              <w:left w:type="dxa" w:w="100"/>
              <w:bottom w:type="dxa" w:w="80"/>
              <w:right w:type="dxa" w:w="100"/>
            </w:tcMar>
          </w:tcPr>
          <w:p>
            <w:r>
              <w:rPr>
                <w:b w:val="false"/>
                <w:bCs w:val="false"/>
                <w:color w:val="000000"/>
                <w:sz w:val="19"/>
                <w:szCs w:val="19"/>
              </w:rPr>
              <w:t xml:space="preserve">How many questions to generate</w:t>
            </w:r>
          </w:p>
        </w:tc>
      </w:tr>
    </w:tbl>
    <w:p>
      <w:pPr>
        <w:spacing w:before="100"/>
      </w:pPr>
    </w:p>
    <w:p>
      <w:pPr>
        <w:pStyle w:val="Heading3"/>
        <w:spacing w:after="100" w:before="200"/>
      </w:pPr>
      <w:r>
        <w:rPr>
          <w:b/>
          <w:bCs/>
          <w:color w:val="1F3864"/>
          <w:sz w:val="21"/>
          <w:szCs w:val="21"/>
        </w:rPr>
        <w:t xml:space="preserve">AI service returns (QuizGenerationResponse)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questions</w:t>
            </w:r>
          </w:p>
        </w:tc>
        <w:tc>
          <w:tcPr>
            <w:tcW w:type="dxa" w:w="1600"/>
            <w:tcMar>
              <w:top w:type="dxa" w:w="80"/>
              <w:left w:type="dxa" w:w="100"/>
              <w:bottom w:type="dxa" w:w="80"/>
              <w:right w:type="dxa" w:w="100"/>
            </w:tcMar>
          </w:tcPr>
          <w:p>
            <w:r>
              <w:rPr>
                <w:b w:val="false"/>
                <w:bCs w:val="false"/>
                <w:color w:val="000000"/>
                <w:sz w:val="19"/>
                <w:szCs w:val="19"/>
              </w:rPr>
              <w:t xml:space="preserve">array of GeneratedQuizQuestionDto</w:t>
            </w:r>
          </w:p>
        </w:tc>
        <w:tc>
          <w:tcPr>
            <w:tcW w:type="dxa" w:w="5300"/>
            <w:tcMar>
              <w:top w:type="dxa" w:w="80"/>
              <w:left w:type="dxa" w:w="100"/>
              <w:bottom w:type="dxa" w:w="80"/>
              <w:right w:type="dxa" w:w="100"/>
            </w:tcMar>
          </w:tcPr>
          <w:p>
            <w:r>
              <w:rPr>
                <w:b w:val="false"/>
                <w:bCs w:val="false"/>
                <w:color w:val="000000"/>
                <w:sz w:val="19"/>
                <w:szCs w:val="19"/>
              </w:rPr>
              <w:t xml:space="preserve"/>
            </w:r>
          </w:p>
        </w:tc>
      </w:tr>
    </w:tbl>
    <w:p>
      <w:pPr>
        <w:spacing w:after="80" w:before="150"/>
      </w:pPr>
      <w:r>
        <w:rPr>
          <w:b/>
          <w:bCs/>
          <w:i/>
          <w:iCs/>
          <w:color w:val="595959"/>
          <w:sz w:val="20"/>
          <w:szCs w:val="20"/>
        </w:rPr>
        <w:t xml:space="preserve">GeneratedQuizQuestionDto: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questionText</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optionA</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optionB</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optionC</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optionD</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correctOption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Must be exactly one of "A", "B", "C", "D" — exactly one correct answer per question is required (NFR-AI-07)</w:t>
            </w:r>
          </w:p>
        </w:tc>
      </w:tr>
    </w:tbl>
    <w:p>
      <w:pPr>
        <w:spacing w:after="100" w:before="150"/>
      </w:pPr>
      <w:r>
        <w:rPr>
          <w:i/>
          <w:iCs/>
          <w:color w:val="595959"/>
          <w:sz w:val="19"/>
          <w:szCs w:val="19"/>
        </w:rPr>
        <w:t xml:space="preserve">Grading itself happens on the Java side, not the AI service — the AI service only needs to mark the correct option.</w:t>
      </w:r>
    </w:p>
    <w:p>
      <w:pPr>
        <w:pBdr>
          <w:bottom w:val="single" w:color="BFBFBF" w:sz="6" w:space="1"/>
        </w:pBdr>
        <w:spacing w:after="200" w:before="200"/>
      </w:pPr>
    </w:p>
    <w:p>
      <w:pPr>
        <w:pStyle w:val="Heading2"/>
        <w:spacing w:after="150" w:before="300"/>
      </w:pPr>
      <w:r>
        <w:rPr>
          <w:b/>
          <w:bCs/>
          <w:color w:val="2E75B6"/>
          <w:sz w:val="24"/>
          <w:szCs w:val="24"/>
        </w:rPr>
        <w:t xml:space="preserve">6. Job Matching</w:t>
      </w:r>
    </w:p>
    <w:p>
      <w:pPr>
        <w:spacing w:after="200" w:before="100"/>
      </w:pPr>
      <w:r>
        <w:rPr>
          <w:rFonts w:ascii="Consolas" w:cs="Consolas" w:eastAsia="Consolas" w:hAnsi="Consolas"/>
          <w:b/>
          <w:bCs/>
          <w:color w:val="FFFFFF"/>
          <w:sz w:val="20"/>
          <w:szCs w:val="20"/>
          <w:shd w:fill="548235" w:val="clear"/>
        </w:rPr>
        <w:t xml:space="preserve">  POST  </w:t>
      </w:r>
      <w:r>
        <w:t xml:space="preserve">  </w:t>
      </w:r>
      <w:r>
        <w:rPr>
          <w:rFonts w:ascii="Consolas" w:cs="Consolas" w:eastAsia="Consolas" w:hAnsi="Consolas"/>
          <w:b/>
          <w:bCs/>
          <w:color w:val="1F3864"/>
          <w:sz w:val="22"/>
          <w:szCs w:val="22"/>
        </w:rPr>
        <w:t xml:space="preserve">/job-match</w:t>
      </w:r>
    </w:p>
    <w:p>
      <w:pPr>
        <w:spacing w:after="160"/>
      </w:pPr>
      <w:r>
        <w:rPr>
          <w:sz w:val="21"/>
          <w:szCs w:val="21"/>
        </w:rPr>
        <w:t xml:space="preserve">Scores one student's skill vector against one job posting.</w:t>
      </w:r>
    </w:p>
    <w:p>
      <w:pPr>
        <w:pStyle w:val="Heading3"/>
        <w:spacing w:after="100" w:before="200"/>
      </w:pPr>
      <w:r>
        <w:rPr>
          <w:b/>
          <w:bCs/>
          <w:color w:val="1F3864"/>
          <w:sz w:val="21"/>
          <w:szCs w:val="21"/>
        </w:rPr>
        <w:t xml:space="preserve">Backend sends (JobMatchRequest)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skillVector</w:t>
            </w:r>
          </w:p>
        </w:tc>
        <w:tc>
          <w:tcPr>
            <w:tcW w:type="dxa" w:w="1600"/>
            <w:tcMar>
              <w:top w:type="dxa" w:w="80"/>
              <w:left w:type="dxa" w:w="100"/>
              <w:bottom w:type="dxa" w:w="80"/>
              <w:right w:type="dxa" w:w="100"/>
            </w:tcMar>
          </w:tcPr>
          <w:p>
            <w:r>
              <w:rPr>
                <w:b w:val="false"/>
                <w:bCs w:val="false"/>
                <w:color w:val="000000"/>
                <w:sz w:val="19"/>
                <w:szCs w:val="19"/>
              </w:rPr>
              <w:t xml:space="preserve">array of SkillScoreDto</w:t>
            </w:r>
          </w:p>
        </w:tc>
        <w:tc>
          <w:tcPr>
            <w:tcW w:type="dxa" w:w="5300"/>
            <w:tcMar>
              <w:top w:type="dxa" w:w="80"/>
              <w:left w:type="dxa" w:w="100"/>
              <w:bottom w:type="dxa" w:w="80"/>
              <w:right w:type="dxa" w:w="100"/>
            </w:tcMar>
          </w:tcPr>
          <w:p>
            <w:r>
              <w:rPr>
                <w:b w:val="false"/>
                <w:bCs w:val="false"/>
                <w:color w:val="000000"/>
                <w:sz w:val="19"/>
                <w:szCs w:val="19"/>
              </w:rPr>
              <w:t xml:space="preserve">The student's current skill vector</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jobTitle</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jobDescription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jobRequiredSkills</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Free text — job postings live only in the Java/MySQL database, so the AI service never looks jobs up itself; the backend always sends the job's text directly</w:t>
            </w:r>
          </w:p>
        </w:tc>
      </w:tr>
    </w:tbl>
    <w:p>
      <w:pPr>
        <w:spacing w:before="100"/>
      </w:pPr>
    </w:p>
    <w:p>
      <w:pPr>
        <w:pStyle w:val="Heading3"/>
        <w:spacing w:after="100" w:before="200"/>
      </w:pPr>
      <w:r>
        <w:rPr>
          <w:b/>
          <w:bCs/>
          <w:color w:val="1F3864"/>
          <w:sz w:val="21"/>
          <w:szCs w:val="21"/>
        </w:rPr>
        <w:t xml:space="preserve">AI service returns (JobMatchResponse)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Field</w:t>
            </w:r>
          </w:p>
        </w:tc>
        <w:tc>
          <w:tcPr>
            <w:tcW w:type="dxa" w:w="1600"/>
            <w:shd w:fill="1F3864" w:val="clear"/>
            <w:tcMar>
              <w:top w:type="dxa" w:w="80"/>
              <w:left w:type="dxa" w:w="100"/>
              <w:bottom w:type="dxa" w:w="80"/>
              <w:right w:type="dxa" w:w="100"/>
            </w:tcMar>
          </w:tcPr>
          <w:p>
            <w:r>
              <w:rPr>
                <w:b/>
                <w:bCs/>
                <w:color w:val="FFFFFF"/>
                <w:sz w:val="19"/>
                <w:szCs w:val="19"/>
              </w:rPr>
              <w:t xml:space="preserve">Type</w:t>
            </w:r>
          </w:p>
        </w:tc>
        <w:tc>
          <w:tcPr>
            <w:tcW w:type="dxa" w:w="5300"/>
            <w:shd w:fill="1F3864" w:val="clear"/>
            <w:tcMar>
              <w:top w:type="dxa" w:w="80"/>
              <w:left w:type="dxa" w:w="100"/>
              <w:bottom w:type="dxa" w:w="80"/>
              <w:right w:type="dxa" w:w="100"/>
            </w:tcMar>
          </w:tcPr>
          <w:p>
            <w:r>
              <w:rPr>
                <w:b/>
                <w:bCs/>
                <w:color w:val="FFFFFF"/>
                <w:sz w:val="19"/>
                <w:szCs w:val="19"/>
              </w:rPr>
              <w:t xml:space="preserve">Notes</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matchScore</w:t>
            </w:r>
          </w:p>
        </w:tc>
        <w:tc>
          <w:tcPr>
            <w:tcW w:type="dxa" w:w="1600"/>
            <w:tcMar>
              <w:top w:type="dxa" w:w="80"/>
              <w:left w:type="dxa" w:w="100"/>
              <w:bottom w:type="dxa" w:w="80"/>
              <w:right w:type="dxa" w:w="100"/>
            </w:tcMar>
          </w:tcPr>
          <w:p>
            <w:r>
              <w:rPr>
                <w:b w:val="false"/>
                <w:bCs w:val="false"/>
                <w:color w:val="000000"/>
                <w:sz w:val="19"/>
                <w:szCs w:val="19"/>
              </w:rPr>
              <w:t xml:space="preserve">decimal</w:t>
            </w:r>
          </w:p>
        </w:tc>
        <w:tc>
          <w:tcPr>
            <w:tcW w:type="dxa" w:w="5300"/>
            <w:tcMar>
              <w:top w:type="dxa" w:w="80"/>
              <w:left w:type="dxa" w:w="100"/>
              <w:bottom w:type="dxa" w:w="80"/>
              <w:right w:type="dxa" w:w="100"/>
            </w:tcMar>
          </w:tcPr>
          <w:p>
            <w:r>
              <w:rPr>
                <w:b w:val="false"/>
                <w:bCs w:val="false"/>
                <w:color w:val="000000"/>
                <w:sz w:val="19"/>
                <w:szCs w:val="19"/>
              </w:rPr>
              <w:t xml:space="preserve">0–100</w:t>
            </w:r>
          </w:p>
        </w:tc>
      </w:tr>
      <w:tr>
        <w:tc>
          <w:tcPr>
            <w:tcW w:type="dxa" w:w="24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explanation</w:t>
            </w:r>
          </w:p>
        </w:tc>
        <w:tc>
          <w:tcPr>
            <w:tcW w:type="dxa" w:w="1600"/>
            <w:tcMar>
              <w:top w:type="dxa" w:w="80"/>
              <w:left w:type="dxa" w:w="100"/>
              <w:bottom w:type="dxa" w:w="80"/>
              <w:right w:type="dxa" w:w="100"/>
            </w:tcMar>
          </w:tcPr>
          <w:p>
            <w:r>
              <w:rPr>
                <w:b w:val="false"/>
                <w:bCs w:val="false"/>
                <w:color w:val="000000"/>
                <w:sz w:val="19"/>
                <w:szCs w:val="19"/>
              </w:rPr>
              <w:t xml:space="preserve">string</w:t>
            </w:r>
          </w:p>
        </w:tc>
        <w:tc>
          <w:tcPr>
            <w:tcW w:type="dxa" w:w="5300"/>
            <w:tcMar>
              <w:top w:type="dxa" w:w="80"/>
              <w:left w:type="dxa" w:w="100"/>
              <w:bottom w:type="dxa" w:w="80"/>
              <w:right w:type="dxa" w:w="100"/>
            </w:tcMar>
          </w:tcPr>
          <w:p>
            <w:r>
              <w:rPr>
                <w:b w:val="false"/>
                <w:bCs w:val="false"/>
                <w:color w:val="000000"/>
                <w:sz w:val="19"/>
                <w:szCs w:val="19"/>
              </w:rPr>
              <w:t xml:space="preserve">Short LLM-written explanation of the match</w:t>
            </w:r>
          </w:p>
        </w:tc>
      </w:tr>
    </w:tbl>
    <w:p>
      <w:pPr>
        <w:pBdr>
          <w:bottom w:val="single" w:color="BFBFBF" w:sz="6" w:space="1"/>
        </w:pBdr>
        <w:spacing w:after="200" w:before="200"/>
      </w:pPr>
    </w:p>
    <w:p>
      <w:pPr>
        <w:pStyle w:val="Heading2"/>
        <w:spacing w:after="150" w:before="300"/>
      </w:pPr>
      <w:r>
        <w:rPr>
          <w:b/>
          <w:bCs/>
          <w:color w:val="2E75B6"/>
          <w:sz w:val="24"/>
          <w:szCs w:val="24"/>
        </w:rPr>
        <w:t xml:space="preserve">General Rules That Apply to Every Endpoint</w:t>
      </w:r>
    </w:p>
    <w:p>
      <w:pPr>
        <w:pStyle w:val="ListParagraph"/>
        <w:numPr>
          <w:ilvl w:val="0"/>
          <w:numId w:val="2"/>
        </w:numPr>
        <w:spacing w:after="80"/>
      </w:pPr>
      <w:r>
        <w:rPr>
          <w:sz w:val="21"/>
          <w:szCs w:val="21"/>
        </w:rPr>
        <w:t xml:space="preserve">Names, not IDs. Skills and courses are always referenced by name/string across this contract, never by the Java database's numeric IDs. The AI service reasons against its own skill ontology / course catalog copy; the Java side resolves names back to entity IDs when persisting.</w:t>
      </w:r>
    </w:p>
    <w:p>
      <w:pPr>
        <w:pStyle w:val="ListParagraph"/>
        <w:numPr>
          <w:ilvl w:val="0"/>
          <w:numId w:val="2"/>
        </w:numPr>
        <w:spacing w:after="80"/>
      </w:pPr>
      <w:r>
        <w:rPr>
          <w:sz w:val="21"/>
          <w:szCs w:val="21"/>
        </w:rPr>
        <w:t xml:space="preserve">No hallucinated content. Course recommendations and job matches must only reference items that actually exist in the AI service's catalog/data — never invented course names or links (NFR-AI-05).</w:t>
      </w:r>
    </w:p>
    <w:p>
      <w:pPr>
        <w:pStyle w:val="ListParagraph"/>
        <w:numPr>
          <w:ilvl w:val="0"/>
          <w:numId w:val="2"/>
        </w:numPr>
        <w:spacing w:after="80"/>
      </w:pPr>
      <w:r>
        <w:rPr>
          <w:sz w:val="21"/>
          <w:szCs w:val="21"/>
        </w:rPr>
        <w:t xml:space="preserve">Schema-valid JSON only. Every response must conform to the shapes defined above. If validation fails on your side, retry/repair internally before responding — don't send partial or malformed JSON back to Java.</w:t>
      </w:r>
    </w:p>
    <w:p>
      <w:pPr>
        <w:pStyle w:val="ListParagraph"/>
        <w:numPr>
          <w:ilvl w:val="0"/>
          <w:numId w:val="2"/>
        </w:numPr>
        <w:spacing w:after="80"/>
      </w:pPr>
      <w:r>
        <w:rPr>
          <w:sz w:val="21"/>
          <w:szCs w:val="21"/>
        </w:rPr>
        <w:t xml:space="preserve">Timeouts and retries. Java will time out and treat the call as failed after the configured timeout (default 30s), and expects transient failures to be safe to retry (idempotent POSTs). If your own LLM provider fails, use your internal fallback chain (cloud → local model → rule-based) rather than surfacing an error — Java should still get a valid response shape whenever possible.</w:t>
      </w:r>
    </w:p>
    <w:p>
      <w:pPr>
        <w:pStyle w:val="ListParagraph"/>
        <w:numPr>
          <w:ilvl w:val="0"/>
          <w:numId w:val="2"/>
        </w:numPr>
        <w:spacing w:after="80"/>
      </w:pPr>
      <w:r>
        <w:rPr>
          <w:sz w:val="21"/>
          <w:szCs w:val="21"/>
        </w:rPr>
        <w:t xml:space="preserve">HTTP errors. For anything that isn't recoverable via your fallback chain, return a standard HTTP error status (4xx/5xx) with a JSON error body — Java's WebClient will surface this as an exception. There's no custom error envelope required yet; a plain FastAPI/HTTP error response is fine unless a shared error schema is agreed on later.</w:t>
      </w:r>
    </w:p>
    <w:p>
      <w:pPr>
        <w:pStyle w:val="ListParagraph"/>
        <w:numPr>
          <w:ilvl w:val="0"/>
          <w:numId w:val="2"/>
        </w:numPr>
        <w:spacing w:after="80"/>
      </w:pPr>
      <w:r>
        <w:rPr>
          <w:sz w:val="21"/>
          <w:szCs w:val="21"/>
        </w:rPr>
        <w:t xml:space="preserve">Stateless per call. Nothing here assumes the AI service persists anything about a student between calls — Java always sends the full context (skill vector, transcript, etc.) each time it's needed.</w:t>
      </w:r>
    </w:p>
    <w:p>
      <w:pPr>
        <w:pStyle w:val="Heading2"/>
        <w:spacing w:after="150" w:before="300"/>
      </w:pPr>
      <w:r>
        <w:rPr>
          <w:b/>
          <w:bCs/>
          <w:color w:val="2E75B6"/>
          <w:sz w:val="24"/>
          <w:szCs w:val="24"/>
        </w:rPr>
        <w:t xml:space="preserve">Not Yet Part of This Contract (Flagged for Later)</w:t>
      </w:r>
    </w:p>
    <w:p>
      <w:pPr>
        <w:pStyle w:val="ListParagraph"/>
        <w:numPr>
          <w:ilvl w:val="0"/>
          <w:numId w:val="2"/>
        </w:numPr>
        <w:spacing w:after="80"/>
      </w:pPr>
      <w:r>
        <w:rPr>
          <w:sz w:val="21"/>
          <w:szCs w:val="21"/>
        </w:rPr>
        <w:t xml:space="preserve">No shared/explicit error-response schema — currently relies on plain HTTP status codes.</w:t>
      </w:r>
    </w:p>
    <w:p>
      <w:pPr>
        <w:pStyle w:val="ListParagraph"/>
        <w:numPr>
          <w:ilvl w:val="0"/>
          <w:numId w:val="2"/>
        </w:numPr>
        <w:spacing w:after="80"/>
      </w:pPr>
      <w:r>
        <w:rPr>
          <w:sz w:val="21"/>
          <w:szCs w:val="21"/>
        </w:rPr>
        <w:t xml:space="preserve">No contract test yet against a real running FastAPI instance — worth building once the AI service is live, to verify real responses actually match these shapes.</w:t>
      </w:r>
    </w:p>
    <w:p>
      <w:pPr>
        <w:pStyle w:val="ListParagraph"/>
        <w:numPr>
          <w:ilvl w:val="0"/>
          <w:numId w:val="2"/>
        </w:numPr>
        <w:spacing w:after="80"/>
      </w:pPr>
      <w:r>
        <w:rPr>
          <w:sz w:val="21"/>
          <w:szCs w:val="21"/>
        </w:rPr>
        <w:t xml:space="preserve">No authentication between the two services has been defined yet in code (e.g. a shared secret/API key on the internal call) — worth deciding before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2026-08-16T08:56:37.007Z</dcterms:created>
  <dcterms:modified xsi:type="dcterms:W3CDTF">2026-08-16T08:56:37.008Z</dcterms:modified>
</cp:coreProperties>
</file>

<file path=docProps/custom.xml><?xml version="1.0" encoding="utf-8"?>
<Properties xmlns="http://schemas.openxmlformats.org/officeDocument/2006/custom-properties" xmlns:vt="http://schemas.openxmlformats.org/officeDocument/2006/docPropsVTypes"/>
</file>