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48"/>
          <w:szCs w:val="48"/>
          <w:u w:val="single"/>
        </w:rPr>
        <w:t>NMOS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All the reasoning and physical explanation that applies to the PMOS applies also to the NMOS so we will not repeat them in this section.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IV characteristics of the device 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1123950</wp:posOffset>
                </wp:positionH>
                <wp:positionV relativeFrom="paragraph">
                  <wp:posOffset>3387725</wp:posOffset>
                </wp:positionV>
                <wp:extent cx="3706495" cy="31559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840" cy="31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Fig.(15). Id/VGS plot at different VDS  voltages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t" style="position:absolute;margin-left:88.5pt;margin-top:266.75pt;width:291.75pt;height:24.7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Fig.(15). Id/VGS plot at different VDS  voltages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5943600" cy="3057525"/>
            <wp:effectExtent l="0" t="0" r="0" b="0"/>
            <wp:docPr id="3" name="صورة 3" descr="Ivgs_pmos_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Ivgs_pmos_b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DEVICE STRUCTURE:</w:t>
      </w:r>
      <w:r>
        <w:rPr>
          <w:rFonts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</w:t>
      </w:r>
    </w:p>
    <w:p>
      <w:pPr>
        <w:pStyle w:val="Normal"/>
        <w:rPr/>
      </w:pPr>
      <w:r>
        <w:rPr/>
        <w:drawing>
          <wp:inline distT="0" distB="0" distL="0" distR="0">
            <wp:extent cx="5943600" cy="4457700"/>
            <wp:effectExtent l="0" t="0" r="0" b="0"/>
            <wp:docPr id="4" name="Image2" descr="pmos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pmos_structur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1990725</wp:posOffset>
                </wp:positionH>
                <wp:positionV relativeFrom="paragraph">
                  <wp:posOffset>140335</wp:posOffset>
                </wp:positionV>
                <wp:extent cx="2458720" cy="47752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0" cy="4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Fig(16) NMOS structure and doping profiles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56.75pt;margin-top:11.05pt;width:193.5pt;height:37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Fig(16) NMOS structure and doping profiles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OPTIMIZATIONS: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Channel Doping:</w:t>
      </w:r>
    </w:p>
    <w:p>
      <w:pPr>
        <w:pStyle w:val="ListParagraph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943600" cy="4457700"/>
            <wp:effectExtent l="0" t="0" r="0" b="0"/>
            <wp:docPr id="9" name="صورة 9" descr="pmos_CD_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 descr="pmos_CD_curv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1695450</wp:posOffset>
                </wp:positionH>
                <wp:positionV relativeFrom="paragraph">
                  <wp:posOffset>4500880</wp:posOffset>
                </wp:positionV>
                <wp:extent cx="3173095" cy="43942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320" cy="43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Fig(17) Id/VGS for different channel doping concentrations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33.5pt;margin-top:354.4pt;width:249.75pt;height:34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Fig(17) Id/VGS for different channel doping concentrations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left" w:pos="450" w:leader="none"/>
        </w:tabs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105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Source/Drain Doping: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-188595</wp:posOffset>
                </wp:positionH>
                <wp:positionV relativeFrom="paragraph">
                  <wp:posOffset>247650</wp:posOffset>
                </wp:positionV>
                <wp:extent cx="6356350" cy="1537335"/>
                <wp:effectExtent l="0" t="0" r="0" b="0"/>
                <wp:wrapSquare wrapText="bothSides"/>
                <wp:docPr id="10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800" cy="153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10008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3621"/>
                              <w:gridCol w:w="3192"/>
                              <w:gridCol w:w="3195"/>
                            </w:tblGrid>
                            <w:tr>
                              <w:trPr>
                                <w:cnfStyle w:val="100000000000"/>
                              </w:trPr>
                              <w:tc>
                                <w:tcPr>
                                  <w:tcW w:w="3621" w:type="dxa"/>
                                  <w:cnfStyle w:val="001000000000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Channel Concentration(cm-3)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cnfStyle w:val="100000000000"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Vth (V)</w:t>
                                  </w:r>
                                </w:p>
                              </w:tc>
                              <w:tc>
                                <w:tcPr>
                                  <w:tcW w:w="319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100000000000"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gm(uS/um)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/>
                              </w:trPr>
                              <w:tc>
                                <w:tcPr>
                                  <w:tcW w:w="3621" w:type="dxa"/>
                                  <w:cnfStyle w:val="001000000000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7.1e17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cnfStyle w:val="0000001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3195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1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509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21" w:type="dxa"/>
                                  <w:cnfStyle w:val="001000000000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6.4e17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cnfStyle w:val="0000000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3195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0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513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/>
                              </w:trPr>
                              <w:tc>
                                <w:tcPr>
                                  <w:tcW w:w="3621" w:type="dxa"/>
                                  <w:cnfStyle w:val="001000000000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5.70e17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cnfStyle w:val="0000001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 xml:space="preserve">                  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3195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1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516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21" w:type="dxa"/>
                                  <w:cnfStyle w:val="001000000000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5.05e17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0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w="3195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0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521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/>
                              </w:trPr>
                              <w:tc>
                                <w:tcPr>
                                  <w:tcW w:w="3621" w:type="dxa"/>
                                  <w:cnfStyle w:val="001000000000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4.37e17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1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3195" w:type="dxa"/>
                                  <w:tcBorders>
                                    <w:top w:val="nil"/>
                                    <w:bottom w:val="nil"/>
                                    <w:insideH w:val="nil"/>
                                  </w:tcBorders>
                                  <w:shd w:color="auto" w:fill="C0C0C0" w:themeFill="text1" w:themeFillTint="3f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1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525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21" w:type="dxa"/>
                                  <w:cnfStyle w:val="001000000000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both"/>
                                    <w:rPr>
                                      <w:b/>
                                      <w:b/>
                                      <w:bCs/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3.69e17</w:t>
                                  </w:r>
                                </w:p>
                              </w:tc>
                              <w:tc>
                                <w:tcPr>
                                  <w:tcW w:w="3192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0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3195" w:type="dxa"/>
                                  <w:tcBorders>
                                    <w:top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tabs>
                                      <w:tab w:val="left" w:pos="450" w:leader="none"/>
                                    </w:tabs>
                                    <w:spacing w:lineRule="auto" w:line="240" w:before="0" w:after="0"/>
                                    <w:ind w:left="0" w:hanging="0"/>
                                    <w:contextualSpacing/>
                                    <w:jc w:val="center"/>
                                    <w:cnfStyle w:val="000000000000"/>
                                    <w:rPr>
                                      <w:color w:val="000000" w:themeColor="text1" w:themeShade="bf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 w:themeColor="text1" w:themeShade="bf"/>
                                      <w:sz w:val="26"/>
                                      <w:szCs w:val="26"/>
                                    </w:rPr>
                                    <w:t>530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14.85pt;margin-top:19.5pt;width:500.4pt;height:120.9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6"/>
                        <w:tblW w:w="10008" w:type="dxa"/>
                        <w:jc w:val="left"/>
                        <w:tblInd w:w="108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3621"/>
                        <w:gridCol w:w="3192"/>
                        <w:gridCol w:w="3195"/>
                      </w:tblGrid>
                      <w:tr>
                        <w:trPr>
                          <w:cnfStyle w:val="100000000000"/>
                        </w:trPr>
                        <w:tc>
                          <w:tcPr>
                            <w:tcW w:w="3621" w:type="dxa"/>
                            <w:cnfStyle w:val="001000000000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Channel Concentration(cm-3)</w:t>
                            </w:r>
                          </w:p>
                        </w:tc>
                        <w:tc>
                          <w:tcPr>
                            <w:tcW w:w="3192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cnfStyle w:val="100000000000"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Vth (V)</w:t>
                            </w:r>
                          </w:p>
                        </w:tc>
                        <w:tc>
                          <w:tcPr>
                            <w:tcW w:w="3195" w:type="dxa"/>
                            <w:tcBorders/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100000000000"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gm(uS/um)</w:t>
                            </w:r>
                          </w:p>
                        </w:tc>
                      </w:tr>
                      <w:tr>
                        <w:trPr>
                          <w:cnfStyle w:val="000000100000"/>
                        </w:trPr>
                        <w:tc>
                          <w:tcPr>
                            <w:tcW w:w="3621" w:type="dxa"/>
                            <w:cnfStyle w:val="001000000000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7.1e17</w:t>
                            </w:r>
                          </w:p>
                        </w:tc>
                        <w:tc>
                          <w:tcPr>
                            <w:tcW w:w="3192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cnfStyle w:val="0000001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3195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1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509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21" w:type="dxa"/>
                            <w:cnfStyle w:val="001000000000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6.4e17</w:t>
                            </w:r>
                          </w:p>
                        </w:tc>
                        <w:tc>
                          <w:tcPr>
                            <w:tcW w:w="3192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cnfStyle w:val="0000000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3195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0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513</w:t>
                            </w:r>
                          </w:p>
                        </w:tc>
                      </w:tr>
                      <w:tr>
                        <w:trPr>
                          <w:cnfStyle w:val="000000100000"/>
                        </w:trPr>
                        <w:tc>
                          <w:tcPr>
                            <w:tcW w:w="3621" w:type="dxa"/>
                            <w:cnfStyle w:val="001000000000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5.70e17</w:t>
                            </w:r>
                          </w:p>
                        </w:tc>
                        <w:tc>
                          <w:tcPr>
                            <w:tcW w:w="3192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cnfStyle w:val="0000001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3195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1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516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21" w:type="dxa"/>
                            <w:cnfStyle w:val="001000000000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5.05e17</w:t>
                            </w:r>
                          </w:p>
                        </w:tc>
                        <w:tc>
                          <w:tcPr>
                            <w:tcW w:w="3192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0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w="3195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0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521</w:t>
                            </w:r>
                          </w:p>
                        </w:tc>
                      </w:tr>
                      <w:tr>
                        <w:trPr>
                          <w:cnfStyle w:val="000000100000"/>
                        </w:trPr>
                        <w:tc>
                          <w:tcPr>
                            <w:tcW w:w="3621" w:type="dxa"/>
                            <w:cnfStyle w:val="001000000000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4.37e17</w:t>
                            </w:r>
                          </w:p>
                        </w:tc>
                        <w:tc>
                          <w:tcPr>
                            <w:tcW w:w="3192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1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3195" w:type="dxa"/>
                            <w:tcBorders>
                              <w:top w:val="nil"/>
                              <w:bottom w:val="nil"/>
                              <w:insideH w:val="nil"/>
                            </w:tcBorders>
                            <w:shd w:color="auto" w:fill="C0C0C0" w:themeFill="text1" w:themeFillTint="3f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1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525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21" w:type="dxa"/>
                            <w:cnfStyle w:val="001000000000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both"/>
                              <w:rPr>
                                <w:b/>
                                <w:b/>
                                <w:bCs/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 w:themeColor="text1" w:themeShade="bf"/>
                                <w:sz w:val="26"/>
                                <w:szCs w:val="26"/>
                              </w:rPr>
                              <w:t>3.69e17</w:t>
                            </w:r>
                          </w:p>
                        </w:tc>
                        <w:tc>
                          <w:tcPr>
                            <w:tcW w:w="3192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0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3195" w:type="dxa"/>
                            <w:tcBorders>
                              <w:top w:val="nil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tabs>
                                <w:tab w:val="left" w:pos="450" w:leader="none"/>
                              </w:tabs>
                              <w:spacing w:lineRule="auto" w:line="240" w:before="0" w:after="0"/>
                              <w:ind w:left="0" w:hanging="0"/>
                              <w:contextualSpacing/>
                              <w:jc w:val="center"/>
                              <w:cnfStyle w:val="000000000000"/>
                              <w:rPr>
                                <w:color w:val="000000" w:themeColor="text1" w:themeShade="b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 w:themeColor="text1" w:themeShade="bf"/>
                                <w:sz w:val="26"/>
                                <w:szCs w:val="26"/>
                              </w:rPr>
                              <w:t>530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sz w:val="26"/>
          <w:szCs w:val="26"/>
        </w:rPr>
        <w:t>Note: Channel Concentration was varied by varying the channel doping in steps of 0.2e13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2028825</wp:posOffset>
                </wp:positionH>
                <wp:positionV relativeFrom="paragraph">
                  <wp:posOffset>3352800</wp:posOffset>
                </wp:positionV>
                <wp:extent cx="2515870" cy="35369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Fig(18) Id/Vgs after varying source /drain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59.75pt;margin-top:264pt;width:198pt;height:27.7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Fig(18) Id/Vgs after varying source /drain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5943600" cy="3324225"/>
            <wp:effectExtent l="0" t="0" r="0" b="0"/>
            <wp:docPr id="14" name="صورة 22" descr="pmos_SD_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22" descr="pmos_SD_curv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32"/>
          <w:szCs w:val="32"/>
        </w:rPr>
        <w:t xml:space="preserve">  </w:t>
      </w:r>
    </w:p>
    <w:p>
      <w:pPr>
        <w:pStyle w:val="ListParagraph"/>
        <w:ind w:left="105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LDD DOPING: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943600" cy="4457700"/>
            <wp:effectExtent l="0" t="0" r="0" b="0"/>
            <wp:docPr id="17" name="صورة 25" descr="pmos_LDD_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صورة 25" descr="pmos_LDD_curv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1752600</wp:posOffset>
                </wp:positionH>
                <wp:positionV relativeFrom="paragraph">
                  <wp:posOffset>4790440</wp:posOffset>
                </wp:positionV>
                <wp:extent cx="2973070" cy="59182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520" cy="59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Fig(19). Id/Vgs with changing LDD doping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38pt;margin-top:377.2pt;width:234pt;height:46.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Fig(19). Id/Vgs with changing LDD doping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Gate Oxide: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/>
      </w:pPr>
      <w:r>
        <w:rPr/>
        <w:drawing>
          <wp:inline distT="0" distB="0" distL="0" distR="0">
            <wp:extent cx="5943600" cy="3743325"/>
            <wp:effectExtent l="0" t="0" r="0" b="0"/>
            <wp:docPr id="18" name="صورة 27" descr="pmos_GO_cur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صورة 27" descr="pmos_GO_curv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1495425</wp:posOffset>
                </wp:positionH>
                <wp:positionV relativeFrom="paragraph">
                  <wp:posOffset>3810</wp:posOffset>
                </wp:positionV>
                <wp:extent cx="3249295" cy="33464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640" cy="3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Fig(19) Id/Vgs plots with changing oxide thickness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17.75pt;margin-top:0.3pt;width:255.75pt;height:26.2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</w:rPr>
                        <w:t>Fig(19) Id/Vgs plots with changing oxide thickness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Process Parameters:</w:t>
      </w:r>
    </w:p>
    <w:tbl>
      <w:tblPr>
        <w:tblStyle w:val="a5"/>
        <w:tblW w:w="959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796"/>
        <w:gridCol w:w="4795"/>
      </w:tblGrid>
      <w:tr>
        <w:trPr>
          <w:trHeight w:val="413" w:hRule="atLeast"/>
        </w:trPr>
        <w:tc>
          <w:tcPr>
            <w:tcW w:w="47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Gate Oxide</w:t>
            </w:r>
          </w:p>
        </w:tc>
        <w:tc>
          <w:tcPr>
            <w:tcW w:w="47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time=4 temp=900 dryo2 press=1.00 hcl=3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13" w:hRule="atLeast"/>
        </w:trPr>
        <w:tc>
          <w:tcPr>
            <w:tcW w:w="479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P-Well doping</w:t>
            </w:r>
          </w:p>
        </w:tc>
        <w:tc>
          <w:tcPr>
            <w:tcW w:w="479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Boron      dose=8e12      energy=100  pearson</w:t>
            </w:r>
          </w:p>
        </w:tc>
      </w:tr>
      <w:tr>
        <w:trPr>
          <w:trHeight w:val="358" w:hRule="atLeast"/>
        </w:trPr>
        <w:tc>
          <w:tcPr>
            <w:tcW w:w="47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LDD</w:t>
            </w:r>
          </w:p>
        </w:tc>
        <w:tc>
          <w:tcPr>
            <w:tcW w:w="479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Courier New" w:ascii="Times New Roman" w:hAnsi="Times New Roman"/>
                <w:sz w:val="20"/>
                <w:szCs w:val="20"/>
              </w:rPr>
              <w:t>Phosphorus dose=3.0e13 energy=5 pearson</w:t>
            </w:r>
          </w:p>
        </w:tc>
      </w:tr>
      <w:tr>
        <w:trPr>
          <w:trHeight w:val="358" w:hRule="atLeast"/>
        </w:trPr>
        <w:tc>
          <w:tcPr>
            <w:tcW w:w="47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Source/drain Doping</w:t>
            </w:r>
          </w:p>
        </w:tc>
        <w:tc>
          <w:tcPr>
            <w:tcW w:w="479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Courier New" w:ascii="Times New Roman" w:hAnsi="Times New Roman"/>
                <w:sz w:val="20"/>
                <w:szCs w:val="20"/>
              </w:rPr>
              <w:t>Arsenic dose=5.0e15 energy=12 pearson</w:t>
            </w:r>
          </w:p>
        </w:tc>
      </w:tr>
      <w:tr>
        <w:trPr>
          <w:trHeight w:val="358" w:hRule="atLeast"/>
        </w:trPr>
        <w:tc>
          <w:tcPr>
            <w:tcW w:w="479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Channel Doping</w:t>
            </w:r>
          </w:p>
        </w:tc>
        <w:tc>
          <w:tcPr>
            <w:tcW w:w="479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Courier New" w:ascii="Times New Roman" w:hAnsi="Times New Roman"/>
                <w:sz w:val="20"/>
                <w:szCs w:val="20"/>
              </w:rPr>
              <w:t>Phosphorus dose=1.33e13 energy=10 pearson</w:t>
            </w:r>
          </w:p>
        </w:tc>
      </w:tr>
    </w:tbl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  <w:lang w:bidi="ar-EG"/>
        </w:rPr>
      </w:pPr>
      <w:r>
        <w:rPr>
          <w:rFonts w:cs="Times New Roman" w:ascii="Times New Roman" w:hAnsi="Times New Roman"/>
          <w:b/>
          <w:sz w:val="32"/>
          <w:szCs w:val="32"/>
          <w:u w:val="single"/>
          <w:lang w:bidi="ar-EG"/>
        </w:rPr>
        <w:t>Optimized Device: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32"/>
          <w:szCs w:val="32"/>
          <w:u w:val="single"/>
          <w:lang w:bidi="ar-EG"/>
        </w:rPr>
      </w:pPr>
      <w:r>
        <w:rPr>
          <w:rFonts w:cs="Times New Roman" w:ascii="Times New Roman" w:hAnsi="Times New Roman"/>
          <w:b/>
          <w:sz w:val="32"/>
          <w:szCs w:val="32"/>
          <w:u w:val="single"/>
          <w:lang w:bidi="ar-EG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6"/>
          <w:szCs w:val="26"/>
          <w:lang w:bidi="ar-EG"/>
        </w:rPr>
      </w:pPr>
      <w:r>
        <w:rPr>
          <w:rFonts w:cs="Times New Roman" w:ascii="Times New Roman" w:hAnsi="Times New Roman"/>
          <w:sz w:val="26"/>
          <w:szCs w:val="26"/>
          <w:lang w:bidi="ar-EG"/>
        </w:rPr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  <w:drawing>
          <wp:inline distT="0" distB="0" distL="0" distR="0">
            <wp:extent cx="5943600" cy="4457700"/>
            <wp:effectExtent l="0" t="0" r="0" b="0"/>
            <wp:docPr id="23" name="صورة 29" descr="I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صورة 29" descr="IV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1581150</wp:posOffset>
                </wp:positionH>
                <wp:positionV relativeFrom="paragraph">
                  <wp:posOffset>4709160</wp:posOffset>
                </wp:positionV>
                <wp:extent cx="3230245" cy="53467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9560" cy="53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Fig(21) </w:t>
                            </w:r>
                            <w:bookmarkStart w:id="0" w:name="__DdeLink__508_485530906"/>
                            <w:bookmarkEnd w:id="0"/>
                            <w:r>
                              <w:rPr>
                                <w:color w:val="00000A"/>
                              </w:rPr>
                              <w:t>Id/Vds plots of optimized NMOS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24.5pt;margin-top:370.8pt;width:254.25pt;height:42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Fig(21) </w:t>
                      </w:r>
                      <w:bookmarkStart w:id="1" w:name="__DdeLink__508_485530906"/>
                      <w:bookmarkEnd w:id="1"/>
                      <w:r>
                        <w:rPr>
                          <w:color w:val="00000A"/>
                        </w:rPr>
                        <w:t>Id/Vds plots of optimized NMOS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NMOS Code:</w:t>
      </w:r>
    </w:p>
    <w:p>
      <w:pPr>
        <w:pStyle w:val="ListParagraph"/>
        <w:spacing w:before="0" w:after="160"/>
        <w:ind w:lef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0" w:hanging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Process:</w:t>
      </w:r>
    </w:p>
    <w:p>
      <w:pPr>
        <w:pStyle w:val="ListParagraph"/>
        <w:spacing w:before="0" w:after="160"/>
        <w:ind w:left="0" w:hanging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ind w:left="0" w:hanging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18"/>
          <w:szCs w:val="28"/>
          <w:lang w:val="en-US"/>
        </w:rPr>
        <w:t>go athena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line x loc=0.0 spac=0.1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line x loc=0.1 spac=0.006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line x loc=0.21 spac=0.006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line x loc=0.3 spac=0.01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line y loc=0.0 spac=0.002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line y loc=0.063 spac=0.002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line y loc=0.1 spac=0.0</w:t>
      </w:r>
      <w:r>
        <w:rPr>
          <w:rFonts w:ascii="Courier New" w:hAnsi="Courier New"/>
          <w:sz w:val="18"/>
          <w:lang w:val="en-US"/>
        </w:rPr>
        <w:t>0</w:t>
      </w:r>
      <w:r>
        <w:rPr>
          <w:rFonts w:ascii="Courier New" w:hAnsi="Courier New"/>
          <w:sz w:val="18"/>
          <w:lang w:val="en-US"/>
        </w:rPr>
        <w:t>5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line y loc=0.6 spac=0.</w:t>
      </w:r>
      <w:r>
        <w:rPr>
          <w:rFonts w:ascii="Courier New" w:hAnsi="Courier New"/>
          <w:sz w:val="18"/>
          <w:lang w:val="en-US"/>
        </w:rPr>
        <w:t>0</w:t>
      </w:r>
      <w:r>
        <w:rPr>
          <w:rFonts w:ascii="Courier New" w:hAnsi="Courier New"/>
          <w:sz w:val="18"/>
          <w:lang w:val="en-US"/>
        </w:rPr>
        <w:t xml:space="preserve">15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init orientation=100 c.phos=1e14 space.mul=2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#pwell formation including masking off of the nwell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 time=30 temp=1000 dryo2 press=1.00 hcl=3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etch oxide thick=0.02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#P-well Implant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#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implant boron dose=8e12 energy=100 pears 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 temp=950 time=100 weto2 hcl=3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#N-well implant not shown -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welldrive starts here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 time=50 temp=1000 t.rate=4.000 dryo2 press=0.10 hcl=3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 time=220 temp=1200 nitro press=1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 time=90 temp=1200 t.rate=-4.444 nitro press=1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etch oxide all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#sacrificial "cleaning" oxide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 time=20 temp=1000 dryo2 press=1 hcl=3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etch oxide all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#gate oxide grown here:-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 time=4 temp=900 dryo2 press=1.00 hcl=3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# Extract a design parameter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name="gateox" thickness oxide mat.occno=1 x.val=0.05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#vt adjust implant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implant boron dose=1.33e13 energy=10 pearson 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depo poly thick=0.1 divi=10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#from now on the situation is 2-D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etch poly left p1.x=0.21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method fermi compress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diffuse time=1 temp=900 weto2 press=1.0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implant phosphor dose=3.0e13 energy=5 pearson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depo oxide thick=0.015 divisions=8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etch oxide dry thick=0.015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implant arsenic dose=5.0e15 energy=12 pearson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method fermi compress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diffuse time=1 temp=900 nitro press=1.0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 pattern s/d contact metal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etch oxide left p1.x=0.17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deposit alumin thick=0.015 divi=2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etch alumin right p1.x=0.14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 Extract design parameters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 extract final S/D Xj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name="nxj" xj silicon mat.occno=1 x.val=0.1 junc.occno=1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# extract the N++ regions sheet resistance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name="n++ sheet rho" sheet.res material="Silicon" mat.occno=1 x.val=0.05 region.occno=1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extract the sheet rho under the spacer, of the LDD region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name="ldd sheet rho" sheet.res material="Silicon" \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ab/>
        <w:t>mat.occno=1 x.val=0.3 region.occno=1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extract the surface conc under the channel.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name="chan surf conc" surf.conc impurity="Net Doping" \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ab/>
        <w:t>material="Silicon" mat.occno=1 x.val=0.45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extract a curve of conductance versus bias.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start material="Polysilicon" mat.occno=1 \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ab/>
        <w:t>bias=0.0 bias.step=0.2 bias.stop=2 x.val=0.45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done name="sheet cond v bias" \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ab/>
        <w:t>curve(bias,1dn.conduct material="Silicon" mat.occno=1  region.occno=1)\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ab/>
        <w:t>outfile="extract.dat"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extract the long chan Vt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name="n1dvt" 1dvt ntype vb=0.0 qss=1e10 x.val=0.49</w:t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structure mirror right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sz w:val="18"/>
          <w:lang w:val="en-US"/>
        </w:rPr>
        <w:t>electrode name=gate x=0.3 y=0.1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electrode name=source x=0.1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electrode name=drain x=0.5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electrode name=substrate backside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structure outfile=mos1ex01_0.str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plot the structure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tonyplot  mos1ex01_0.str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############# Vt Test : Returns Vt, Beta and Theta ################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go atlas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set material models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models cvt srh print 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contact name=gate n.poly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interface qf=3e10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method newton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solve init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# Bias the drain 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solve vdrain=0.1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log outf=idvgsvd0.log master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solve vgate=0 vstep=0.1 vfinal=3.0 name=gate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save outf=idvgsvd0.str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plot results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tonyplot  nmos1ex01_1.log 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quit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ListParagraph"/>
        <w:spacing w:before="0" w:after="160"/>
        <w:ind w:left="0" w:hanging="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Extraction:</w:t>
      </w:r>
    </w:p>
    <w:p>
      <w:pPr>
        <w:pStyle w:val="Normal"/>
        <w:spacing w:before="0" w:after="160"/>
        <w:ind w:left="0" w:hanging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18"/>
          <w:szCs w:val="28"/>
          <w:lang w:val="en-US"/>
        </w:rPr>
        <w:t>go atlas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 extract device parameters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init inf="nmos1exvt.log"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name="nvt" (xintercept(maxslope(curve(abs(v."gate"),abs(i."drain")))) \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ab/>
        <w:t>- abs(ave(v."drain"))/2.0)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init inf="nmos1exgm.log"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extract name="gm" max(deriv(v."gate",i."drain"))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#tonyplot -overlay -st idvdvgs0_2.log idvdvgs0_4.log idvdvgs0_6.log idvdvgs0_8.log idvdvgs1_0.log idvdvgs1_2.log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18"/>
          <w:lang w:val="en-US"/>
        </w:rPr>
        <w:t>#tonyplot -overlay -st idvgsvd0.log idvgsvd0_2.log idvgsvd0_4.log idvgsvd0_8.log idvgsvd1_0.log idvgsvd1_2.log</w:t>
      </w:r>
    </w:p>
    <w:p>
      <w:pPr>
        <w:pStyle w:val="Normal"/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  <w:lang w:val="en-US"/>
        </w:rPr>
      </w:r>
    </w:p>
    <w:p>
      <w:pPr>
        <w:pStyle w:val="Normal"/>
        <w:spacing w:before="0" w:after="160"/>
        <w:ind w:left="0" w:hanging="0"/>
        <w:contextualSpacing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18"/>
          <w:szCs w:val="28"/>
          <w:lang w:val="en-US"/>
        </w:rPr>
        <w:t>quit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233e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ee233e"/>
    <w:rPr>
      <w:rFonts w:ascii="Tahoma" w:hAnsi="Tahoma" w:cs="Tahoma"/>
      <w:sz w:val="16"/>
      <w:szCs w:val="16"/>
    </w:rPr>
  </w:style>
  <w:style w:type="character" w:styleId="Char1" w:customStyle="1">
    <w:name w:val="رأس صفحة Char"/>
    <w:basedOn w:val="DefaultParagraphFont"/>
    <w:link w:val="a7"/>
    <w:uiPriority w:val="99"/>
    <w:semiHidden/>
    <w:qFormat/>
    <w:rsid w:val="00265557"/>
    <w:rPr/>
  </w:style>
  <w:style w:type="character" w:styleId="Char2" w:customStyle="1">
    <w:name w:val="تذييل صفحة Char"/>
    <w:basedOn w:val="DefaultParagraphFont"/>
    <w:link w:val="a8"/>
    <w:uiPriority w:val="99"/>
    <w:semiHidden/>
    <w:qFormat/>
    <w:rsid w:val="00265557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ee23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bb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har0"/>
    <w:uiPriority w:val="99"/>
    <w:semiHidden/>
    <w:unhideWhenUsed/>
    <w:rsid w:val="0026555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1"/>
    <w:uiPriority w:val="99"/>
    <w:semiHidden/>
    <w:unhideWhenUsed/>
    <w:rsid w:val="0026555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a20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Light Shading"/>
    <w:basedOn w:val="a1"/>
    <w:uiPriority w:val="60"/>
    <w:rsid w:val="003a20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Application>LibreOffice/5.0.1.2$Windows_x86 LibreOffice_project/81898c9f5c0d43f3473ba111d7b351050be20261</Application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2015-12-12T06:19:00Z</dcterms:created>
  <dc:creator>Karim Shams</dc:creator>
  <dc:language>en-US</dc:language>
  <dcterms:modified xsi:type="dcterms:W3CDTF">2015-12-12T22:34:54Z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