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2C1117">
      <w:pPr>
        <w:spacing w:before="80" w:after="80"/>
      </w:pPr>
    </w:p>
    <w:p w14:paraId="545F25A4">
      <w:pPr>
        <w:spacing w:before="80" w:after="80"/>
      </w:pPr>
    </w:p>
    <w:p w14:paraId="36A79703">
      <w:pPr>
        <w:spacing w:before="80" w:after="80"/>
      </w:pPr>
    </w:p>
    <w:p w14:paraId="12B6F32D">
      <w:pPr>
        <w:spacing w:before="200" w:after="200"/>
        <w:jc w:val="center"/>
      </w:pPr>
      <w:r>
        <w:rPr>
          <w:b/>
          <w:bCs/>
          <w:color w:val="1F4E79"/>
          <w:sz w:val="48"/>
          <w:szCs w:val="48"/>
        </w:rPr>
        <w:t>Predicting Auto Insurance Claim Frequency</w:t>
      </w:r>
    </w:p>
    <w:p w14:paraId="5C2110BE">
      <w:pPr>
        <w:spacing w:before="100" w:after="400"/>
        <w:jc w:val="center"/>
      </w:pPr>
      <w:r>
        <w:rPr>
          <w:b/>
          <w:bCs/>
          <w:color w:val="C55A11"/>
          <w:sz w:val="32"/>
          <w:szCs w:val="32"/>
        </w:rPr>
        <w:t>A Poisson GLM vs LightGBM Approach</w:t>
      </w:r>
    </w:p>
    <w:p w14:paraId="5DE6497E">
      <w:pPr>
        <w:spacing w:before="100" w:after="100"/>
        <w:jc w:val="center"/>
      </w:pPr>
      <w:r>
        <w:rPr>
          <w:color w:val="595959"/>
          <w:sz w:val="26"/>
          <w:szCs w:val="26"/>
        </w:rPr>
        <w:t>Samuel Bassey</w:t>
      </w:r>
    </w:p>
    <w:p w14:paraId="2AA31DA5">
      <w:pPr>
        <w:spacing w:before="100" w:after="100"/>
        <w:jc w:val="center"/>
      </w:pPr>
      <w:r>
        <w:rPr>
          <w:i/>
          <w:iCs/>
          <w:color w:val="595959"/>
          <w:sz w:val="22"/>
          <w:szCs w:val="22"/>
        </w:rPr>
        <w:t>GitHub: github.com/Bassey-data/Auto-insurance-claim-frequency</w:t>
      </w:r>
    </w:p>
    <w:p w14:paraId="3C7EA556">
      <w:pPr>
        <w:spacing w:before="100" w:after="400"/>
        <w:jc w:val="center"/>
      </w:pPr>
      <w:r>
        <w:rPr>
          <w:color w:val="595959"/>
          <w:sz w:val="22"/>
          <w:szCs w:val="22"/>
        </w:rPr>
        <w:t>July 2026</w:t>
      </w:r>
    </w:p>
    <w:p w14:paraId="15F1B39D">
      <w:pPr>
        <w:spacing w:before="80" w:after="80"/>
      </w:pPr>
    </w:p>
    <w:p w14:paraId="091E8D6B">
      <w:pPr>
        <w:spacing w:before="80" w:after="80"/>
      </w:pPr>
    </w:p>
    <w:p w14:paraId="5BDC33CE">
      <w:r>
        <w:br w:type="page"/>
      </w:r>
    </w:p>
    <w:p w14:paraId="26F90F82">
      <w:pPr>
        <w:pStyle w:val="2"/>
        <w:pBdr>
          <w:bottom w:val="single" w:color="1F4E79" w:sz="6" w:space="0"/>
        </w:pBdr>
        <w:spacing w:before="400" w:after="200"/>
      </w:pPr>
      <w:r>
        <w:t>Abstract</w:t>
      </w:r>
    </w:p>
    <w:p w14:paraId="14EF9208">
      <w:pPr>
        <w:spacing w:before="80" w:after="80"/>
      </w:pPr>
      <w:r>
        <w:rPr>
          <w:sz w:val="22"/>
          <w:szCs w:val="22"/>
        </w:rPr>
        <w:t>This report documents</w:t>
      </w:r>
      <w:r>
        <w:rPr>
          <w:rFonts w:hint="default"/>
          <w:sz w:val="22"/>
          <w:szCs w:val="22"/>
          <w:lang w:val="en-US"/>
        </w:rPr>
        <w:t xml:space="preserve"> </w:t>
      </w:r>
      <w:r>
        <w:rPr>
          <w:sz w:val="22"/>
          <w:szCs w:val="22"/>
        </w:rPr>
        <w:t>claim frequency modeling project on the freMTPL2freq dataset, a real-world French motor third-party liability insurance portfolio of approximately 678,000 policies. The project compares a Poisson Generalized Linear Model (GLM) representing the actuarial industry standard against a LightGBM gradient boosting model using a Poisson objective function.</w:t>
      </w:r>
    </w:p>
    <w:p w14:paraId="06FD7558">
      <w:pPr>
        <w:spacing w:before="80" w:after="80"/>
      </w:pPr>
    </w:p>
    <w:p w14:paraId="71DD42EA">
      <w:pPr>
        <w:spacing w:before="80" w:after="80"/>
      </w:pPr>
      <w:r>
        <w:rPr>
          <w:sz w:val="22"/>
          <w:szCs w:val="22"/>
        </w:rPr>
        <w:t>Both models treat claim exposure as an offset rather than a feature, a</w:t>
      </w:r>
      <w:r>
        <w:rPr>
          <w:rFonts w:hint="default"/>
          <w:sz w:val="22"/>
          <w:szCs w:val="22"/>
          <w:lang w:val="en-US"/>
        </w:rPr>
        <w:t xml:space="preserve">n important </w:t>
      </w:r>
      <w:r>
        <w:rPr>
          <w:sz w:val="22"/>
          <w:szCs w:val="22"/>
        </w:rPr>
        <w:t>distinction</w:t>
      </w:r>
      <w:r>
        <w:rPr>
          <w:rFonts w:hint="default"/>
          <w:sz w:val="22"/>
          <w:szCs w:val="22"/>
          <w:lang w:val="en-US"/>
        </w:rPr>
        <w:t xml:space="preserve"> </w:t>
      </w:r>
      <w:r>
        <w:rPr>
          <w:sz w:val="22"/>
          <w:szCs w:val="22"/>
        </w:rPr>
        <w:t>that separates actuarially sound frequency modeling from naive regression. Evaluation uses Poisson deviance and the Lorenz curve / Gini index rather than accuracy or RMSE, which are inappropriate for count data with 95% zero-claim imbalance.</w:t>
      </w:r>
    </w:p>
    <w:p w14:paraId="46D504CA">
      <w:pPr>
        <w:spacing w:before="80" w:after="80"/>
      </w:pPr>
    </w:p>
    <w:p w14:paraId="51238FBE">
      <w:pPr>
        <w:spacing w:before="80" w:after="80"/>
        <w:rPr>
          <w:sz w:val="22"/>
          <w:szCs w:val="22"/>
        </w:rPr>
      </w:pPr>
      <w:r>
        <w:rPr>
          <w:sz w:val="22"/>
          <w:szCs w:val="22"/>
        </w:rPr>
        <w:t>The GLM achieves a 3.1% reduction in deviance over a naive constant-frequency baseline but produces a near-zero Gini index (-0.047), indicating weak discriminatory power with an S-shaped Lorenz curve that crosses the diagonal.</w:t>
      </w:r>
    </w:p>
    <w:p w14:paraId="256B38F2">
      <w:pPr>
        <w:spacing w:before="80" w:after="80"/>
      </w:pPr>
      <w:r>
        <w:rPr>
          <w:sz w:val="22"/>
          <w:szCs w:val="22"/>
        </w:rPr>
        <w:t xml:space="preserve">LightGBM achieves an 8.4% deviance reduction and a Gini of 0.101. This improvement </w:t>
      </w:r>
      <w:r>
        <w:rPr>
          <w:rFonts w:hint="default"/>
          <w:sz w:val="22"/>
          <w:szCs w:val="22"/>
          <w:lang w:val="en-US"/>
        </w:rPr>
        <w:t xml:space="preserve">can be attributed </w:t>
      </w:r>
      <w:r>
        <w:rPr>
          <w:sz w:val="22"/>
          <w:szCs w:val="22"/>
        </w:rPr>
        <w:t>to LightGBM's ability to capture VehAge's non-linear relationship with claim frequency, which the GLM's linear specification cannot represent.</w:t>
      </w:r>
    </w:p>
    <w:p w14:paraId="1E0BFDC1">
      <w:r>
        <w:br w:type="page"/>
      </w:r>
    </w:p>
    <w:p w14:paraId="28914B85">
      <w:pPr>
        <w:pStyle w:val="2"/>
        <w:pBdr>
          <w:bottom w:val="single" w:color="1F4E79" w:sz="6" w:space="0"/>
        </w:pBdr>
        <w:spacing w:before="400" w:after="200"/>
      </w:pPr>
      <w:r>
        <w:t>1. Introduction and Problem Framing</w:t>
      </w:r>
    </w:p>
    <w:p w14:paraId="2B01B034">
      <w:pPr>
        <w:spacing w:before="80" w:after="80"/>
      </w:pPr>
      <w:r>
        <w:rPr>
          <w:sz w:val="22"/>
          <w:szCs w:val="22"/>
        </w:rPr>
        <w:t xml:space="preserve">Motor insurance pricing depends on accurate claim frequency estimates. An insurer that underestimates frequency for a segment of policyholders will price below cost for that segment, accumulating losses over time. Overestimating leads to uncompetitive pricing and portfolio attrition. </w:t>
      </w:r>
      <w:r>
        <w:rPr>
          <w:rFonts w:hint="default"/>
          <w:sz w:val="22"/>
          <w:szCs w:val="22"/>
          <w:lang w:val="en-US"/>
        </w:rPr>
        <w:t xml:space="preserve">This project </w:t>
      </w:r>
      <w:r>
        <w:rPr>
          <w:sz w:val="22"/>
          <w:szCs w:val="22"/>
        </w:rPr>
        <w:t>estimate</w:t>
      </w:r>
      <w:r>
        <w:rPr>
          <w:rFonts w:hint="default"/>
          <w:sz w:val="22"/>
          <w:szCs w:val="22"/>
          <w:lang w:val="en-US"/>
        </w:rPr>
        <w:t>s</w:t>
      </w:r>
      <w:r>
        <w:rPr>
          <w:sz w:val="22"/>
          <w:szCs w:val="22"/>
        </w:rPr>
        <w:t xml:space="preserve"> the rate at which claims occur per unit of exposure.</w:t>
      </w:r>
    </w:p>
    <w:p w14:paraId="5DF7ACA3">
      <w:pPr>
        <w:spacing w:before="80" w:after="80"/>
      </w:pPr>
    </w:p>
    <w:p w14:paraId="28A6F3A8">
      <w:pPr>
        <w:spacing w:before="80" w:after="80"/>
      </w:pPr>
      <w:r>
        <w:rPr>
          <w:sz w:val="22"/>
          <w:szCs w:val="22"/>
        </w:rPr>
        <w:t>This distinction shapes every modeling decision in this project. Frequency is a rate, not a binary outcome. A policy observed for six months has half the opportunity to generate a claim as one observed for a full year. Ignoring this produces systematically biased predictions. The standard actuarial solution is to treat exposure as an offset in a Poisson model, which this project implements for both the GLM baseline and the LightGBM challenger.</w:t>
      </w:r>
    </w:p>
    <w:p w14:paraId="16408D8D">
      <w:pPr>
        <w:spacing w:before="80" w:after="80"/>
      </w:pPr>
    </w:p>
    <w:p w14:paraId="213755B8">
      <w:pPr>
        <w:spacing w:before="80" w:after="80"/>
      </w:pPr>
      <w:r>
        <w:rPr>
          <w:sz w:val="22"/>
          <w:szCs w:val="22"/>
        </w:rPr>
        <w:t>The freMTPL2freq dataset appears in Noll, Salzmann and Wuthrich (2020) in their widely cited actuarial GLM/ML comparison paper. This makes it a defensible choice for a portfolio project since results can be contextualized against published benchmarks.</w:t>
      </w:r>
    </w:p>
    <w:p w14:paraId="28D23913">
      <w:pPr>
        <w:spacing w:before="80" w:after="80"/>
      </w:pPr>
    </w:p>
    <w:p w14:paraId="5931218D">
      <w:pPr>
        <w:pStyle w:val="3"/>
        <w:spacing w:before="300" w:after="150"/>
      </w:pPr>
      <w:r>
        <w:t>1.1 Why This Dataset Is Harder Than It Looks</w:t>
      </w:r>
    </w:p>
    <w:p w14:paraId="1BC8FBF9">
      <w:pPr>
        <w:spacing w:before="80" w:after="80"/>
      </w:pPr>
      <w:r>
        <w:rPr>
          <w:sz w:val="22"/>
          <w:szCs w:val="22"/>
        </w:rPr>
        <w:t>Several properties of this dataset make it genuinely challenging:</w:t>
      </w:r>
    </w:p>
    <w:p w14:paraId="647CEA2B">
      <w:pPr>
        <w:pStyle w:val="16"/>
        <w:numPr>
          <w:ilvl w:val="0"/>
          <w:numId w:val="1"/>
        </w:numPr>
        <w:spacing w:before="60" w:after="60"/>
        <w:ind w:left="360" w:hanging="360"/>
      </w:pPr>
      <w:r>
        <w:rPr>
          <w:sz w:val="22"/>
          <w:szCs w:val="22"/>
        </w:rPr>
        <w:t>95% zero-claim imbalance. Standard classification metrics are meaningless. A model that predicts zero for every policy achieves 95% accuracy while capturing no useful signal.</w:t>
      </w:r>
    </w:p>
    <w:p w14:paraId="597DA510">
      <w:pPr>
        <w:pStyle w:val="16"/>
        <w:numPr>
          <w:ilvl w:val="0"/>
          <w:numId w:val="1"/>
        </w:numPr>
        <w:spacing w:before="60" w:after="60"/>
        <w:ind w:left="360" w:hanging="360"/>
      </w:pPr>
      <w:r>
        <w:rPr>
          <w:sz w:val="22"/>
          <w:szCs w:val="22"/>
        </w:rPr>
        <w:t>Low pseudo R² of approximately 0.01. This is not a model failure. It reflects the irreducible randomness in individual claim events. Variance in claim occurrence within risk groups is far larger than variance between groups.</w:t>
      </w:r>
    </w:p>
    <w:p w14:paraId="24B26FA6">
      <w:pPr>
        <w:pStyle w:val="16"/>
        <w:numPr>
          <w:ilvl w:val="0"/>
          <w:numId w:val="1"/>
        </w:numPr>
        <w:spacing w:before="60" w:after="60"/>
        <w:ind w:left="360" w:hanging="360"/>
      </w:pPr>
      <w:r>
        <w:rPr>
          <w:sz w:val="22"/>
          <w:szCs w:val="22"/>
        </w:rPr>
        <w:t>Non-linear feature relationships. DrivAge shows a well-documented U-shaped relationship with frequency (young and elderly drivers are higher risk). A linear term for DrivAge is a known misspecification, left deliberately in the GLM to demonstrate exactly where LightGBM gains its advantage.</w:t>
      </w:r>
    </w:p>
    <w:p w14:paraId="69107640">
      <w:pPr>
        <w:pStyle w:val="16"/>
        <w:numPr>
          <w:ilvl w:val="0"/>
          <w:numId w:val="1"/>
        </w:numPr>
        <w:spacing w:before="60" w:after="60"/>
        <w:ind w:left="360" w:hanging="360"/>
      </w:pPr>
      <w:r>
        <w:rPr>
          <w:sz w:val="22"/>
          <w:szCs w:val="22"/>
        </w:rPr>
        <w:t>Known data quality issues. VehAge values up to 100 and Exposure values exceeding 1.0 are documented in the actuarial literature for this dataset and require explicit handling.</w:t>
      </w:r>
    </w:p>
    <w:p w14:paraId="5419107D">
      <w:r>
        <w:br w:type="page"/>
      </w:r>
    </w:p>
    <w:p w14:paraId="66BE36A9">
      <w:pPr>
        <w:pStyle w:val="2"/>
        <w:pBdr>
          <w:bottom w:val="single" w:color="1F4E79" w:sz="6" w:space="0"/>
        </w:pBdr>
        <w:spacing w:before="400" w:after="200"/>
      </w:pPr>
      <w:r>
        <w:t>2. Data</w:t>
      </w:r>
    </w:p>
    <w:p w14:paraId="58C75BA7">
      <w:pPr>
        <w:pStyle w:val="3"/>
        <w:spacing w:before="300" w:after="150"/>
      </w:pPr>
      <w:r>
        <w:t>2.1 Dataset Overview</w:t>
      </w:r>
    </w:p>
    <w:p w14:paraId="1B9F2AE8">
      <w:pPr>
        <w:spacing w:before="80" w:after="80"/>
      </w:pPr>
      <w:r>
        <w:rPr>
          <w:sz w:val="22"/>
          <w:szCs w:val="22"/>
        </w:rPr>
        <w:t>The freMTPL2freq dataset contains 678,013 motor insurance policies from France. Each row represents one policy with the following features:</w:t>
      </w:r>
    </w:p>
    <w:p w14:paraId="041B3A39">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3120"/>
        <w:gridCol w:w="3120"/>
      </w:tblGrid>
      <w:tr w14:paraId="6359FF56">
        <w:trPr>
          <w:tblHeader/>
        </w:trPr>
        <w:tc>
          <w:tcPr>
            <w:tcW w:w="3120" w:type="dxa"/>
            <w:shd w:val="clear" w:color="auto" w:fill="1F4E79"/>
          </w:tcPr>
          <w:p w14:paraId="4B754C08">
            <w:pPr>
              <w:jc w:val="center"/>
            </w:pPr>
            <w:r>
              <w:rPr>
                <w:b/>
                <w:bCs/>
                <w:color w:val="FFFFFF"/>
                <w:sz w:val="20"/>
                <w:szCs w:val="20"/>
              </w:rPr>
              <w:t>Column</w:t>
            </w:r>
          </w:p>
        </w:tc>
        <w:tc>
          <w:tcPr>
            <w:tcW w:w="3120" w:type="dxa"/>
            <w:shd w:val="clear" w:color="auto" w:fill="1F4E79"/>
          </w:tcPr>
          <w:p w14:paraId="3FB7E5E6">
            <w:pPr>
              <w:jc w:val="center"/>
            </w:pPr>
            <w:r>
              <w:rPr>
                <w:b/>
                <w:bCs/>
                <w:color w:val="FFFFFF"/>
                <w:sz w:val="20"/>
                <w:szCs w:val="20"/>
              </w:rPr>
              <w:t>Type</w:t>
            </w:r>
          </w:p>
        </w:tc>
        <w:tc>
          <w:tcPr>
            <w:tcW w:w="3120" w:type="dxa"/>
            <w:shd w:val="clear" w:color="auto" w:fill="1F4E79"/>
          </w:tcPr>
          <w:p w14:paraId="5F87DD1F">
            <w:pPr>
              <w:jc w:val="center"/>
            </w:pPr>
            <w:r>
              <w:rPr>
                <w:b/>
                <w:bCs/>
                <w:color w:val="FFFFFF"/>
                <w:sz w:val="20"/>
                <w:szCs w:val="20"/>
              </w:rPr>
              <w:t>Description</w:t>
            </w:r>
          </w:p>
        </w:tc>
      </w:tr>
      <w:tr w14:paraId="6433D0AA">
        <w:tc>
          <w:tcPr>
            <w:tcW w:w="3120" w:type="dxa"/>
            <w:shd w:val="clear" w:color="auto" w:fill="FFFFFF"/>
          </w:tcPr>
          <w:p w14:paraId="3B7F9AB0">
            <w:pPr>
              <w:jc w:val="center"/>
            </w:pPr>
            <w:r>
              <w:rPr>
                <w:sz w:val="20"/>
                <w:szCs w:val="20"/>
              </w:rPr>
              <w:t>IDpol</w:t>
            </w:r>
          </w:p>
        </w:tc>
        <w:tc>
          <w:tcPr>
            <w:tcW w:w="3120" w:type="dxa"/>
            <w:shd w:val="clear" w:color="auto" w:fill="FFFFFF"/>
          </w:tcPr>
          <w:p w14:paraId="2740BCD1">
            <w:pPr>
              <w:jc w:val="center"/>
            </w:pPr>
            <w:r>
              <w:rPr>
                <w:sz w:val="20"/>
                <w:szCs w:val="20"/>
              </w:rPr>
              <w:t>Numeric</w:t>
            </w:r>
          </w:p>
        </w:tc>
        <w:tc>
          <w:tcPr>
            <w:tcW w:w="3120" w:type="dxa"/>
            <w:shd w:val="clear" w:color="auto" w:fill="FFFFFF"/>
          </w:tcPr>
          <w:p w14:paraId="611CA1A9">
            <w:pPr>
              <w:jc w:val="center"/>
            </w:pPr>
            <w:r>
              <w:rPr>
                <w:sz w:val="20"/>
                <w:szCs w:val="20"/>
              </w:rPr>
              <w:t>Policy identifier</w:t>
            </w:r>
          </w:p>
        </w:tc>
      </w:tr>
      <w:tr w14:paraId="32751BCF">
        <w:tc>
          <w:tcPr>
            <w:tcW w:w="3120" w:type="dxa"/>
            <w:shd w:val="clear" w:color="auto" w:fill="F2F2F2"/>
          </w:tcPr>
          <w:p w14:paraId="06F97A0C">
            <w:pPr>
              <w:jc w:val="center"/>
            </w:pPr>
            <w:r>
              <w:rPr>
                <w:sz w:val="20"/>
                <w:szCs w:val="20"/>
              </w:rPr>
              <w:t>ClaimNb</w:t>
            </w:r>
          </w:p>
        </w:tc>
        <w:tc>
          <w:tcPr>
            <w:tcW w:w="3120" w:type="dxa"/>
            <w:shd w:val="clear" w:color="auto" w:fill="F2F2F2"/>
          </w:tcPr>
          <w:p w14:paraId="54AC0831">
            <w:pPr>
              <w:jc w:val="center"/>
            </w:pPr>
            <w:r>
              <w:rPr>
                <w:sz w:val="20"/>
                <w:szCs w:val="20"/>
              </w:rPr>
              <w:t>Integer</w:t>
            </w:r>
          </w:p>
        </w:tc>
        <w:tc>
          <w:tcPr>
            <w:tcW w:w="3120" w:type="dxa"/>
            <w:shd w:val="clear" w:color="auto" w:fill="F2F2F2"/>
          </w:tcPr>
          <w:p w14:paraId="27D60551">
            <w:pPr>
              <w:jc w:val="center"/>
            </w:pPr>
            <w:r>
              <w:rPr>
                <w:sz w:val="20"/>
                <w:szCs w:val="20"/>
              </w:rPr>
              <w:t>Number of claims during exposure period</w:t>
            </w:r>
          </w:p>
        </w:tc>
      </w:tr>
      <w:tr w14:paraId="6B7B4468">
        <w:tc>
          <w:tcPr>
            <w:tcW w:w="3120" w:type="dxa"/>
            <w:shd w:val="clear" w:color="auto" w:fill="FFFFFF"/>
          </w:tcPr>
          <w:p w14:paraId="45B2EAB7">
            <w:pPr>
              <w:jc w:val="center"/>
            </w:pPr>
            <w:r>
              <w:rPr>
                <w:sz w:val="20"/>
                <w:szCs w:val="20"/>
              </w:rPr>
              <w:t>Exposure</w:t>
            </w:r>
          </w:p>
        </w:tc>
        <w:tc>
          <w:tcPr>
            <w:tcW w:w="3120" w:type="dxa"/>
            <w:shd w:val="clear" w:color="auto" w:fill="FFFFFF"/>
          </w:tcPr>
          <w:p w14:paraId="58F374CA">
            <w:pPr>
              <w:jc w:val="center"/>
            </w:pPr>
            <w:r>
              <w:rPr>
                <w:sz w:val="20"/>
                <w:szCs w:val="20"/>
              </w:rPr>
              <w:t>Float</w:t>
            </w:r>
          </w:p>
        </w:tc>
        <w:tc>
          <w:tcPr>
            <w:tcW w:w="3120" w:type="dxa"/>
            <w:shd w:val="clear" w:color="auto" w:fill="FFFFFF"/>
          </w:tcPr>
          <w:p w14:paraId="79DF8C9C">
            <w:pPr>
              <w:jc w:val="center"/>
            </w:pPr>
            <w:r>
              <w:rPr>
                <w:sz w:val="20"/>
                <w:szCs w:val="20"/>
              </w:rPr>
              <w:t>Fraction of the year the policy was active</w:t>
            </w:r>
          </w:p>
        </w:tc>
      </w:tr>
      <w:tr w14:paraId="0ED50423">
        <w:tc>
          <w:tcPr>
            <w:tcW w:w="3120" w:type="dxa"/>
            <w:shd w:val="clear" w:color="auto" w:fill="F2F2F2"/>
          </w:tcPr>
          <w:p w14:paraId="5C560EB6">
            <w:pPr>
              <w:jc w:val="center"/>
            </w:pPr>
            <w:r>
              <w:rPr>
                <w:sz w:val="20"/>
                <w:szCs w:val="20"/>
              </w:rPr>
              <w:t>Area</w:t>
            </w:r>
          </w:p>
        </w:tc>
        <w:tc>
          <w:tcPr>
            <w:tcW w:w="3120" w:type="dxa"/>
            <w:shd w:val="clear" w:color="auto" w:fill="F2F2F2"/>
          </w:tcPr>
          <w:p w14:paraId="666F9EBE">
            <w:pPr>
              <w:jc w:val="center"/>
            </w:pPr>
            <w:r>
              <w:rPr>
                <w:sz w:val="20"/>
                <w:szCs w:val="20"/>
              </w:rPr>
              <w:t>Categorical (A-F)</w:t>
            </w:r>
          </w:p>
        </w:tc>
        <w:tc>
          <w:tcPr>
            <w:tcW w:w="3120" w:type="dxa"/>
            <w:shd w:val="clear" w:color="auto" w:fill="F2F2F2"/>
          </w:tcPr>
          <w:p w14:paraId="2744B56D">
            <w:pPr>
              <w:jc w:val="center"/>
            </w:pPr>
            <w:r>
              <w:rPr>
                <w:sz w:val="20"/>
                <w:szCs w:val="20"/>
              </w:rPr>
              <w:t>Risk area classification, ordered, likely urban density proxy</w:t>
            </w:r>
          </w:p>
        </w:tc>
      </w:tr>
      <w:tr w14:paraId="5877015D">
        <w:tc>
          <w:tcPr>
            <w:tcW w:w="3120" w:type="dxa"/>
            <w:shd w:val="clear" w:color="auto" w:fill="FFFFFF"/>
          </w:tcPr>
          <w:p w14:paraId="23E1C086">
            <w:pPr>
              <w:jc w:val="center"/>
            </w:pPr>
            <w:r>
              <w:rPr>
                <w:sz w:val="20"/>
                <w:szCs w:val="20"/>
              </w:rPr>
              <w:t>VehPower</w:t>
            </w:r>
          </w:p>
        </w:tc>
        <w:tc>
          <w:tcPr>
            <w:tcW w:w="3120" w:type="dxa"/>
            <w:shd w:val="clear" w:color="auto" w:fill="FFFFFF"/>
          </w:tcPr>
          <w:p w14:paraId="5E339904">
            <w:pPr>
              <w:jc w:val="center"/>
            </w:pPr>
            <w:r>
              <w:rPr>
                <w:sz w:val="20"/>
                <w:szCs w:val="20"/>
              </w:rPr>
              <w:t>Integer</w:t>
            </w:r>
          </w:p>
        </w:tc>
        <w:tc>
          <w:tcPr>
            <w:tcW w:w="3120" w:type="dxa"/>
            <w:shd w:val="clear" w:color="auto" w:fill="FFFFFF"/>
          </w:tcPr>
          <w:p w14:paraId="7EF8804C">
            <w:pPr>
              <w:jc w:val="center"/>
            </w:pPr>
            <w:r>
              <w:rPr>
                <w:sz w:val="20"/>
                <w:szCs w:val="20"/>
              </w:rPr>
              <w:t>Vehicle engine power</w:t>
            </w:r>
          </w:p>
        </w:tc>
      </w:tr>
      <w:tr w14:paraId="320C4242">
        <w:tc>
          <w:tcPr>
            <w:tcW w:w="3120" w:type="dxa"/>
            <w:shd w:val="clear" w:color="auto" w:fill="F2F2F2"/>
          </w:tcPr>
          <w:p w14:paraId="119CE91C">
            <w:pPr>
              <w:jc w:val="center"/>
            </w:pPr>
            <w:r>
              <w:rPr>
                <w:sz w:val="20"/>
                <w:szCs w:val="20"/>
              </w:rPr>
              <w:t>VehAge</w:t>
            </w:r>
          </w:p>
        </w:tc>
        <w:tc>
          <w:tcPr>
            <w:tcW w:w="3120" w:type="dxa"/>
            <w:shd w:val="clear" w:color="auto" w:fill="F2F2F2"/>
          </w:tcPr>
          <w:p w14:paraId="09EAA1AD">
            <w:pPr>
              <w:jc w:val="center"/>
            </w:pPr>
            <w:r>
              <w:rPr>
                <w:sz w:val="20"/>
                <w:szCs w:val="20"/>
              </w:rPr>
              <w:t>Integer</w:t>
            </w:r>
          </w:p>
        </w:tc>
        <w:tc>
          <w:tcPr>
            <w:tcW w:w="3120" w:type="dxa"/>
            <w:shd w:val="clear" w:color="auto" w:fill="F2F2F2"/>
          </w:tcPr>
          <w:p w14:paraId="1160445A">
            <w:pPr>
              <w:jc w:val="center"/>
            </w:pPr>
            <w:r>
              <w:rPr>
                <w:sz w:val="20"/>
                <w:szCs w:val="20"/>
              </w:rPr>
              <w:t>Vehicle age in years</w:t>
            </w:r>
          </w:p>
        </w:tc>
      </w:tr>
      <w:tr w14:paraId="1856B6A0">
        <w:tc>
          <w:tcPr>
            <w:tcW w:w="3120" w:type="dxa"/>
            <w:shd w:val="clear" w:color="auto" w:fill="FFFFFF"/>
          </w:tcPr>
          <w:p w14:paraId="6BEFF1DA">
            <w:pPr>
              <w:jc w:val="center"/>
            </w:pPr>
            <w:r>
              <w:rPr>
                <w:sz w:val="20"/>
                <w:szCs w:val="20"/>
              </w:rPr>
              <w:t>DrivAge</w:t>
            </w:r>
          </w:p>
        </w:tc>
        <w:tc>
          <w:tcPr>
            <w:tcW w:w="3120" w:type="dxa"/>
            <w:shd w:val="clear" w:color="auto" w:fill="FFFFFF"/>
          </w:tcPr>
          <w:p w14:paraId="5E981D26">
            <w:pPr>
              <w:jc w:val="center"/>
            </w:pPr>
            <w:r>
              <w:rPr>
                <w:sz w:val="20"/>
                <w:szCs w:val="20"/>
              </w:rPr>
              <w:t>Integer</w:t>
            </w:r>
          </w:p>
        </w:tc>
        <w:tc>
          <w:tcPr>
            <w:tcW w:w="3120" w:type="dxa"/>
            <w:shd w:val="clear" w:color="auto" w:fill="FFFFFF"/>
          </w:tcPr>
          <w:p w14:paraId="51181F27">
            <w:pPr>
              <w:jc w:val="center"/>
            </w:pPr>
            <w:r>
              <w:rPr>
                <w:sz w:val="20"/>
                <w:szCs w:val="20"/>
              </w:rPr>
              <w:t>Driver age in years</w:t>
            </w:r>
          </w:p>
        </w:tc>
      </w:tr>
      <w:tr w14:paraId="0FAEA399">
        <w:tc>
          <w:tcPr>
            <w:tcW w:w="3120" w:type="dxa"/>
            <w:shd w:val="clear" w:color="auto" w:fill="F2F2F2"/>
          </w:tcPr>
          <w:p w14:paraId="73B357C6">
            <w:pPr>
              <w:jc w:val="center"/>
            </w:pPr>
            <w:r>
              <w:rPr>
                <w:sz w:val="20"/>
                <w:szCs w:val="20"/>
              </w:rPr>
              <w:t>BonusMalus</w:t>
            </w:r>
          </w:p>
        </w:tc>
        <w:tc>
          <w:tcPr>
            <w:tcW w:w="3120" w:type="dxa"/>
            <w:shd w:val="clear" w:color="auto" w:fill="F2F2F2"/>
          </w:tcPr>
          <w:p w14:paraId="138F4555">
            <w:pPr>
              <w:jc w:val="center"/>
            </w:pPr>
            <w:r>
              <w:rPr>
                <w:sz w:val="20"/>
                <w:szCs w:val="20"/>
              </w:rPr>
              <w:t>Integer</w:t>
            </w:r>
          </w:p>
        </w:tc>
        <w:tc>
          <w:tcPr>
            <w:tcW w:w="3120" w:type="dxa"/>
            <w:shd w:val="clear" w:color="auto" w:fill="F2F2F2"/>
          </w:tcPr>
          <w:p w14:paraId="1933ED20">
            <w:pPr>
              <w:jc w:val="center"/>
            </w:pPr>
            <w:r>
              <w:rPr>
                <w:sz w:val="20"/>
                <w:szCs w:val="20"/>
              </w:rPr>
              <w:t>French no-claims discount score (higher = worse history)</w:t>
            </w:r>
          </w:p>
        </w:tc>
      </w:tr>
      <w:tr w14:paraId="267963B4">
        <w:tc>
          <w:tcPr>
            <w:tcW w:w="3120" w:type="dxa"/>
            <w:shd w:val="clear" w:color="auto" w:fill="FFFFFF"/>
          </w:tcPr>
          <w:p w14:paraId="3B4E5208">
            <w:pPr>
              <w:jc w:val="center"/>
            </w:pPr>
            <w:r>
              <w:rPr>
                <w:sz w:val="20"/>
                <w:szCs w:val="20"/>
              </w:rPr>
              <w:t>VehBrand</w:t>
            </w:r>
          </w:p>
        </w:tc>
        <w:tc>
          <w:tcPr>
            <w:tcW w:w="3120" w:type="dxa"/>
            <w:shd w:val="clear" w:color="auto" w:fill="FFFFFF"/>
          </w:tcPr>
          <w:p w14:paraId="679B8C1D">
            <w:pPr>
              <w:jc w:val="center"/>
            </w:pPr>
            <w:r>
              <w:rPr>
                <w:sz w:val="20"/>
                <w:szCs w:val="20"/>
              </w:rPr>
              <w:t>Categorical</w:t>
            </w:r>
          </w:p>
        </w:tc>
        <w:tc>
          <w:tcPr>
            <w:tcW w:w="3120" w:type="dxa"/>
            <w:shd w:val="clear" w:color="auto" w:fill="FFFFFF"/>
          </w:tcPr>
          <w:p w14:paraId="6EE249B6">
            <w:pPr>
              <w:jc w:val="center"/>
            </w:pPr>
            <w:r>
              <w:rPr>
                <w:sz w:val="20"/>
                <w:szCs w:val="20"/>
              </w:rPr>
              <w:t>Vehicle brand (anonymised as B1-B14)</w:t>
            </w:r>
          </w:p>
        </w:tc>
      </w:tr>
      <w:tr w14:paraId="1BBB54D5">
        <w:tc>
          <w:tcPr>
            <w:tcW w:w="3120" w:type="dxa"/>
            <w:shd w:val="clear" w:color="auto" w:fill="F2F2F2"/>
          </w:tcPr>
          <w:p w14:paraId="28E4A979">
            <w:pPr>
              <w:jc w:val="center"/>
            </w:pPr>
            <w:r>
              <w:rPr>
                <w:sz w:val="20"/>
                <w:szCs w:val="20"/>
              </w:rPr>
              <w:t>VehGas</w:t>
            </w:r>
          </w:p>
        </w:tc>
        <w:tc>
          <w:tcPr>
            <w:tcW w:w="3120" w:type="dxa"/>
            <w:shd w:val="clear" w:color="auto" w:fill="F2F2F2"/>
          </w:tcPr>
          <w:p w14:paraId="2B215C10">
            <w:pPr>
              <w:jc w:val="center"/>
            </w:pPr>
            <w:r>
              <w:rPr>
                <w:sz w:val="20"/>
                <w:szCs w:val="20"/>
              </w:rPr>
              <w:t>Categorical</w:t>
            </w:r>
          </w:p>
        </w:tc>
        <w:tc>
          <w:tcPr>
            <w:tcW w:w="3120" w:type="dxa"/>
            <w:shd w:val="clear" w:color="auto" w:fill="F2F2F2"/>
          </w:tcPr>
          <w:p w14:paraId="11EE1499">
            <w:pPr>
              <w:jc w:val="center"/>
            </w:pPr>
            <w:r>
              <w:rPr>
                <w:sz w:val="20"/>
                <w:szCs w:val="20"/>
              </w:rPr>
              <w:t>Fuel type: Diesel or Regular</w:t>
            </w:r>
          </w:p>
        </w:tc>
      </w:tr>
      <w:tr w14:paraId="155DACF8">
        <w:tc>
          <w:tcPr>
            <w:tcW w:w="3120" w:type="dxa"/>
            <w:shd w:val="clear" w:color="auto" w:fill="FFFFFF"/>
          </w:tcPr>
          <w:p w14:paraId="3CC0FC6C">
            <w:pPr>
              <w:jc w:val="center"/>
            </w:pPr>
            <w:r>
              <w:rPr>
                <w:sz w:val="20"/>
                <w:szCs w:val="20"/>
              </w:rPr>
              <w:t>Density</w:t>
            </w:r>
          </w:p>
        </w:tc>
        <w:tc>
          <w:tcPr>
            <w:tcW w:w="3120" w:type="dxa"/>
            <w:shd w:val="clear" w:color="auto" w:fill="FFFFFF"/>
          </w:tcPr>
          <w:p w14:paraId="067E7BE7">
            <w:pPr>
              <w:jc w:val="center"/>
            </w:pPr>
            <w:r>
              <w:rPr>
                <w:sz w:val="20"/>
                <w:szCs w:val="20"/>
              </w:rPr>
              <w:t>Integer</w:t>
            </w:r>
          </w:p>
        </w:tc>
        <w:tc>
          <w:tcPr>
            <w:tcW w:w="3120" w:type="dxa"/>
            <w:shd w:val="clear" w:color="auto" w:fill="FFFFFF"/>
          </w:tcPr>
          <w:p w14:paraId="5A594C6A">
            <w:pPr>
              <w:jc w:val="center"/>
            </w:pPr>
            <w:r>
              <w:rPr>
                <w:sz w:val="20"/>
                <w:szCs w:val="20"/>
              </w:rPr>
              <w:t>Population density of policyholder's town</w:t>
            </w:r>
          </w:p>
        </w:tc>
      </w:tr>
      <w:tr w14:paraId="0E00D136">
        <w:tc>
          <w:tcPr>
            <w:tcW w:w="3120" w:type="dxa"/>
            <w:shd w:val="clear" w:color="auto" w:fill="F2F2F2"/>
          </w:tcPr>
          <w:p w14:paraId="361FBDD6">
            <w:pPr>
              <w:jc w:val="center"/>
            </w:pPr>
            <w:r>
              <w:rPr>
                <w:sz w:val="20"/>
                <w:szCs w:val="20"/>
              </w:rPr>
              <w:t>Region</w:t>
            </w:r>
          </w:p>
        </w:tc>
        <w:tc>
          <w:tcPr>
            <w:tcW w:w="3120" w:type="dxa"/>
            <w:shd w:val="clear" w:color="auto" w:fill="F2F2F2"/>
          </w:tcPr>
          <w:p w14:paraId="47FA3B2D">
            <w:pPr>
              <w:jc w:val="center"/>
            </w:pPr>
            <w:r>
              <w:rPr>
                <w:sz w:val="20"/>
                <w:szCs w:val="20"/>
              </w:rPr>
              <w:t>Categorical</w:t>
            </w:r>
          </w:p>
        </w:tc>
        <w:tc>
          <w:tcPr>
            <w:tcW w:w="3120" w:type="dxa"/>
            <w:shd w:val="clear" w:color="auto" w:fill="F2F2F2"/>
          </w:tcPr>
          <w:p w14:paraId="1F34EF42">
            <w:pPr>
              <w:jc w:val="center"/>
            </w:pPr>
            <w:r>
              <w:rPr>
                <w:sz w:val="20"/>
                <w:szCs w:val="20"/>
              </w:rPr>
              <w:t>French administrative region (INSEE codes)</w:t>
            </w:r>
          </w:p>
        </w:tc>
      </w:tr>
    </w:tbl>
    <w:p w14:paraId="3C860934">
      <w:pPr>
        <w:spacing w:before="80" w:after="80"/>
      </w:pPr>
    </w:p>
    <w:p w14:paraId="757ED46C">
      <w:pPr>
        <w:pStyle w:val="3"/>
        <w:spacing w:before="300" w:after="150"/>
      </w:pPr>
      <w:r>
        <w:t>2.2 Data Loading: Why a Custom ARFF Parser</w:t>
      </w:r>
    </w:p>
    <w:p w14:paraId="7464DA41">
      <w:pPr>
        <w:spacing w:before="80" w:after="80"/>
      </w:pPr>
      <w:r>
        <w:rPr>
          <w:sz w:val="22"/>
          <w:szCs w:val="22"/>
        </w:rPr>
        <w:t>The raw data is distributed as an ARFF file (Attribute-Relation File Format). Two standard Python libraries were attempted before settling on a custom parser:</w:t>
      </w:r>
    </w:p>
    <w:p w14:paraId="27CCE15C">
      <w:pPr>
        <w:pStyle w:val="16"/>
        <w:numPr>
          <w:ilvl w:val="0"/>
          <w:numId w:val="1"/>
        </w:numPr>
        <w:spacing w:before="60" w:after="60"/>
        <w:ind w:left="360" w:hanging="360"/>
      </w:pPr>
      <w:r>
        <w:rPr>
          <w:sz w:val="22"/>
          <w:szCs w:val="22"/>
        </w:rPr>
        <w:t>liac-arff: newer versions return a generator object from arff.load(), making dataset['data'] non-subscriptable. The library's API changed between versions without clear documentation.</w:t>
      </w:r>
    </w:p>
    <w:p w14:paraId="0DC0451B">
      <w:pPr>
        <w:pStyle w:val="16"/>
        <w:numPr>
          <w:ilvl w:val="0"/>
          <w:numId w:val="1"/>
        </w:numPr>
        <w:spacing w:before="60" w:after="60"/>
        <w:ind w:left="360" w:hanging="360"/>
      </w:pPr>
      <w:r>
        <w:rPr>
          <w:sz w:val="22"/>
          <w:szCs w:val="22"/>
        </w:rPr>
        <w:t>scipy.io.arff.loadarff(): raises NotImplementedError for string-type attributes. The VehGas column is declared as string in the ARFF header, which scipy cannot handle.</w:t>
      </w:r>
    </w:p>
    <w:p w14:paraId="70A61D16">
      <w:pPr>
        <w:spacing w:before="80" w:after="80"/>
      </w:pPr>
    </w:p>
    <w:p w14:paraId="7CB48D4E">
      <w:pPr>
        <w:spacing w:before="80" w:after="80"/>
      </w:pPr>
      <w:r>
        <w:rPr>
          <w:sz w:val="22"/>
          <w:szCs w:val="22"/>
        </w:rPr>
        <w:t>The custom parser reads the file as plain text, extracts column names from @attribute lines, and parses the @data section by splitting on commas and stripping ARFF's surrounding quotes. It handles this dataset's mixed attribute types without library dependencies:</w:t>
      </w:r>
    </w:p>
    <w:p w14:paraId="04A3DBA1">
      <w:pPr>
        <w:spacing w:before="80" w:after="80"/>
      </w:pPr>
      <w:bookmarkStart w:id="0" w:name="_GoBack"/>
      <w:bookmarkEnd w:id="0"/>
    </w:p>
    <w:p w14:paraId="08E65DCF">
      <w:pPr>
        <w:shd w:val="clear" w:fill="EEF2F7"/>
        <w:spacing w:before="60" w:after="60"/>
        <w:ind w:left="720"/>
      </w:pPr>
      <w:r>
        <w:rPr>
          <w:rFonts w:ascii="Courier New" w:hAnsi="Courier New" w:eastAsia="Courier New" w:cs="Courier New"/>
          <w:color w:val="2E4057"/>
          <w:sz w:val="18"/>
          <w:szCs w:val="18"/>
        </w:rPr>
        <w:t>for i, line in enumerate(lines):</w:t>
      </w:r>
    </w:p>
    <w:p w14:paraId="63D87D2E">
      <w:pPr>
        <w:shd w:val="clear" w:fill="EEF2F7"/>
        <w:spacing w:before="60" w:after="60"/>
        <w:ind w:left="720"/>
      </w:pPr>
      <w:r>
        <w:rPr>
          <w:rFonts w:ascii="Courier New" w:hAnsi="Courier New" w:eastAsia="Courier New" w:cs="Courier New"/>
          <w:color w:val="2E4057"/>
          <w:sz w:val="18"/>
          <w:szCs w:val="18"/>
        </w:rPr>
        <w:t xml:space="preserve">    if stripped.lower().startswith('@attribute'):</w:t>
      </w:r>
    </w:p>
    <w:p w14:paraId="5A4A0987">
      <w:pPr>
        <w:shd w:val="clear" w:fill="EEF2F7"/>
        <w:spacing w:before="60" w:after="60"/>
        <w:ind w:left="720"/>
      </w:pPr>
      <w:r>
        <w:rPr>
          <w:rFonts w:ascii="Courier New" w:hAnsi="Courier New" w:eastAsia="Courier New" w:cs="Courier New"/>
          <w:color w:val="2E4057"/>
          <w:sz w:val="18"/>
          <w:szCs w:val="18"/>
        </w:rPr>
        <w:t xml:space="preserve">        columns.append(stripped.split(maxsplit=2)[1])</w:t>
      </w:r>
    </w:p>
    <w:p w14:paraId="05A0D5D5">
      <w:pPr>
        <w:shd w:val="clear" w:fill="EEF2F7"/>
        <w:spacing w:before="60" w:after="60"/>
        <w:ind w:left="720"/>
      </w:pPr>
      <w:r>
        <w:rPr>
          <w:rFonts w:ascii="Courier New" w:hAnsi="Courier New" w:eastAsia="Courier New" w:cs="Courier New"/>
          <w:color w:val="2E4057"/>
          <w:sz w:val="18"/>
          <w:szCs w:val="18"/>
        </w:rPr>
        <w:t xml:space="preserve">    elif stripped.lower().startswith('@data'):</w:t>
      </w:r>
    </w:p>
    <w:p w14:paraId="4AE64F28">
      <w:pPr>
        <w:shd w:val="clear" w:fill="EEF2F7"/>
        <w:spacing w:before="60" w:after="60"/>
        <w:ind w:left="720"/>
      </w:pPr>
      <w:r>
        <w:rPr>
          <w:rFonts w:ascii="Courier New" w:hAnsi="Courier New" w:eastAsia="Courier New" w:cs="Courier New"/>
          <w:color w:val="2E4057"/>
          <w:sz w:val="18"/>
          <w:szCs w:val="18"/>
        </w:rPr>
        <w:t xml:space="preserve">        data_start = i + 1</w:t>
      </w:r>
    </w:p>
    <w:p w14:paraId="718D236F">
      <w:pPr>
        <w:spacing w:before="80" w:after="80"/>
      </w:pPr>
    </w:p>
    <w:p w14:paraId="013C44DB">
      <w:pPr>
        <w:spacing w:before="80" w:after="80"/>
      </w:pPr>
      <w:r>
        <w:rPr>
          <w:sz w:val="22"/>
          <w:szCs w:val="22"/>
        </w:rPr>
        <w:t>After parsing, all columns arrive as strings and require explicit type casting. A vectorized approach using pandas apply with errors='ignore' converts numeric columns, and remaining object columns are cast to category dtype so LightGBM can handle them natively later.</w:t>
      </w:r>
    </w:p>
    <w:p w14:paraId="5088870E">
      <w:pPr>
        <w:spacing w:before="80" w:after="80"/>
      </w:pPr>
    </w:p>
    <w:p w14:paraId="13565944">
      <w:pPr>
        <w:pStyle w:val="3"/>
        <w:spacing w:before="300" w:after="150"/>
      </w:pPr>
      <w:r>
        <w:t>2.3 Exploratory Data Analysis</w:t>
      </w:r>
    </w:p>
    <w:p w14:paraId="4EAFDAB1">
      <w:pPr>
        <w:pStyle w:val="4"/>
        <w:spacing w:before="200" w:after="100"/>
      </w:pPr>
      <w:r>
        <w:t>Portfolio-wide claim frequency</w:t>
      </w:r>
    </w:p>
    <w:p w14:paraId="7C0D27AC">
      <w:pPr>
        <w:spacing w:before="80" w:after="80"/>
      </w:pPr>
      <w:r>
        <w:rPr>
          <w:sz w:val="22"/>
          <w:szCs w:val="22"/>
        </w:rPr>
        <w:t>The single most important number for this dataset is the exposure-weighted portfolio frequency:</w:t>
      </w:r>
    </w:p>
    <w:p w14:paraId="7ED678A2">
      <w:pPr>
        <w:spacing w:before="80" w:after="80"/>
      </w:pPr>
    </w:p>
    <w:p w14:paraId="5FAF6BB2">
      <w:pPr>
        <w:shd w:val="clear" w:fill="EEF2F7"/>
        <w:spacing w:before="60" w:after="60"/>
        <w:ind w:left="720"/>
      </w:pPr>
      <w:r>
        <w:rPr>
          <w:rFonts w:ascii="Courier New" w:hAnsi="Courier New" w:eastAsia="Courier New" w:cs="Courier New"/>
          <w:color w:val="2E4057"/>
          <w:sz w:val="18"/>
          <w:szCs w:val="18"/>
        </w:rPr>
        <w:t>portfolio_frequency = total_claims / total_exposure</w:t>
      </w:r>
    </w:p>
    <w:p w14:paraId="323EF4E0">
      <w:pPr>
        <w:shd w:val="clear" w:fill="EEF2F7"/>
        <w:spacing w:before="60" w:after="60"/>
        <w:ind w:left="720"/>
      </w:pPr>
      <w:r>
        <w:rPr>
          <w:rFonts w:ascii="Courier New" w:hAnsi="Courier New" w:eastAsia="Courier New" w:cs="Courier New"/>
          <w:color w:val="2E4057"/>
          <w:sz w:val="18"/>
          <w:szCs w:val="18"/>
        </w:rPr>
        <w:t xml:space="preserve">                    = 36,102 / 358,499 = 0.1007 claims per policy-year</w:t>
      </w:r>
    </w:p>
    <w:p w14:paraId="4CE01240">
      <w:pPr>
        <w:spacing w:before="80" w:after="80"/>
      </w:pPr>
    </w:p>
    <w:p w14:paraId="3DFE9C8E">
      <w:pPr>
        <w:spacing w:before="80" w:after="80"/>
      </w:pPr>
      <w:r>
        <w:rPr>
          <w:sz w:val="22"/>
          <w:szCs w:val="22"/>
        </w:rPr>
        <w:t>This is the naive baseline. A model that predicts this constant rate for every policy, regardless of features, is what every other model in this project must beat.</w:t>
      </w:r>
    </w:p>
    <w:p w14:paraId="13FAB993">
      <w:pPr>
        <w:spacing w:before="80" w:after="80"/>
      </w:pPr>
    </w:p>
    <w:p w14:paraId="2335DD63">
      <w:pPr>
        <w:pStyle w:val="4"/>
        <w:spacing w:before="200" w:after="100"/>
      </w:pPr>
      <w:r>
        <w:t>Exposure-weighted frequency vs naive mean</w:t>
      </w:r>
    </w:p>
    <w:p w14:paraId="4BBFDB7B">
      <w:pPr>
        <w:spacing w:before="80" w:after="80"/>
      </w:pPr>
      <w:r>
        <w:rPr>
          <w:sz w:val="22"/>
          <w:szCs w:val="22"/>
        </w:rPr>
        <w:t>When computing how frequency varies by feature group, the correct calculation is:</w:t>
      </w:r>
    </w:p>
    <w:p w14:paraId="7B031041">
      <w:pPr>
        <w:spacing w:before="80" w:after="80"/>
      </w:pPr>
    </w:p>
    <w:p w14:paraId="2A8456E0">
      <w:pPr>
        <w:shd w:val="clear" w:fill="EEF2F7"/>
        <w:spacing w:before="60" w:after="60"/>
        <w:ind w:left="720"/>
      </w:pPr>
      <w:r>
        <w:rPr>
          <w:rFonts w:ascii="Courier New" w:hAnsi="Courier New" w:eastAsia="Courier New" w:cs="Courier New"/>
          <w:color w:val="2E4057"/>
          <w:sz w:val="18"/>
          <w:szCs w:val="18"/>
        </w:rPr>
        <w:t>group_frequency = sum(ClaimNb in group) / sum(Exposure in group)</w:t>
      </w:r>
    </w:p>
    <w:p w14:paraId="5C897DFE">
      <w:pPr>
        <w:spacing w:before="80" w:after="80"/>
      </w:pPr>
    </w:p>
    <w:p w14:paraId="2569246D">
      <w:pPr>
        <w:spacing w:before="80" w:after="80"/>
      </w:pPr>
      <w:r>
        <w:rPr>
          <w:sz w:val="22"/>
          <w:szCs w:val="22"/>
        </w:rPr>
        <w:t>Taking the mean of per-policy frequencies (ClaimNb / Exposure) overweights short-exposure policies. A policy with 1 claim and 0.05 years exposure has a per-policy frequency of 20, but represents very little actual risk. The exposure-weighted version correctly weights each policy by how long it was actually observed.</w:t>
      </w:r>
    </w:p>
    <w:p w14:paraId="2109D912">
      <w:pPr>
        <w:spacing w:before="80" w:after="80"/>
      </w:pPr>
    </w:p>
    <w:p w14:paraId="436D9A25">
      <w:pPr>
        <w:pStyle w:val="4"/>
        <w:spacing w:before="200" w:after="100"/>
      </w:pPr>
      <w:r>
        <w:t>Key EDA findings</w:t>
      </w:r>
    </w:p>
    <w:p w14:paraId="30BC38FA">
      <w:pPr>
        <w:pStyle w:val="16"/>
        <w:numPr>
          <w:ilvl w:val="0"/>
          <w:numId w:val="1"/>
        </w:numPr>
        <w:spacing w:before="60" w:after="60"/>
        <w:ind w:left="360" w:hanging="360"/>
      </w:pPr>
      <w:r>
        <w:rPr>
          <w:sz w:val="22"/>
          <w:szCs w:val="22"/>
        </w:rPr>
        <w:t>Zero-claim imbalance: 94.98% of policies have ClaimNb = 0. This rules out classification accuracy as an evaluation metric.</w:t>
      </w:r>
    </w:p>
    <w:p w14:paraId="0833E8A9">
      <w:pPr>
        <w:pStyle w:val="16"/>
        <w:numPr>
          <w:ilvl w:val="0"/>
          <w:numId w:val="1"/>
        </w:numPr>
        <w:spacing w:before="60" w:after="60"/>
        <w:ind w:left="360" w:hanging="360"/>
      </w:pPr>
      <w:r>
        <w:rPr>
          <w:sz w:val="22"/>
          <w:szCs w:val="22"/>
        </w:rPr>
        <w:t>BonusMalus: the strongest predictor by a wide margin, with a clear monotonic relationship with frequency. This is expected since BonusMalus is constructed from each driver's historical claims record.</w:t>
      </w:r>
    </w:p>
    <w:p w14:paraId="1DC9FF37">
      <w:pPr>
        <w:pStyle w:val="16"/>
        <w:numPr>
          <w:ilvl w:val="0"/>
          <w:numId w:val="1"/>
        </w:numPr>
        <w:spacing w:before="60" w:after="60"/>
        <w:ind w:left="360" w:hanging="360"/>
      </w:pPr>
      <w:r>
        <w:rPr>
          <w:sz w:val="22"/>
          <w:szCs w:val="22"/>
        </w:rPr>
        <w:t>DrivAge: U-shaped relationship with highest frequency at ages 18-22, dropping through the 20s, relatively flat from 30-80, then noisy at extreme ages due to small sample sizes. A single linear coefficient cannot capture this shape.</w:t>
      </w:r>
    </w:p>
    <w:p w14:paraId="62D8396F">
      <w:pPr>
        <w:pStyle w:val="16"/>
        <w:numPr>
          <w:ilvl w:val="0"/>
          <w:numId w:val="1"/>
        </w:numPr>
        <w:spacing w:before="60" w:after="60"/>
        <w:ind w:left="360" w:hanging="360"/>
      </w:pPr>
      <w:r>
        <w:rPr>
          <w:sz w:val="22"/>
          <w:szCs w:val="22"/>
        </w:rPr>
        <w:t>Area: clear monotonic gradient A through F, consistent with an urban density interpretation. Encoded as an ordinal integer to preserve ordering rather than treating each letter as an unrelated category.</w:t>
      </w:r>
    </w:p>
    <w:p w14:paraId="67FAD37B">
      <w:pPr>
        <w:pStyle w:val="16"/>
        <w:numPr>
          <w:ilvl w:val="0"/>
          <w:numId w:val="1"/>
        </w:numPr>
        <w:spacing w:before="60" w:after="60"/>
        <w:ind w:left="360" w:hanging="360"/>
      </w:pPr>
      <w:r>
        <w:rPr>
          <w:sz w:val="22"/>
          <w:szCs w:val="22"/>
        </w:rPr>
        <w:t>VehAge: right-skewed distribution with values up to 100, almost certainly data entry errors. 1,116 policies have VehAge above 30.</w:t>
      </w:r>
    </w:p>
    <w:p w14:paraId="5431A4A7">
      <w:pPr>
        <w:pStyle w:val="16"/>
        <w:numPr>
          <w:ilvl w:val="0"/>
          <w:numId w:val="1"/>
        </w:numPr>
        <w:spacing w:before="60" w:after="60"/>
        <w:ind w:left="360" w:hanging="360"/>
      </w:pPr>
      <w:r>
        <w:rPr>
          <w:sz w:val="22"/>
          <w:szCs w:val="22"/>
        </w:rPr>
        <w:t>Exposure above 1: 1,224 policies have Exposure values slightly above 1.0, which is physically impossible for a single policy year.</w:t>
      </w:r>
    </w:p>
    <w:p w14:paraId="0AE22166">
      <w:pPr>
        <w:pStyle w:val="16"/>
        <w:numPr>
          <w:ilvl w:val="0"/>
          <w:numId w:val="1"/>
        </w:numPr>
        <w:spacing w:before="60" w:after="60"/>
        <w:ind w:left="360" w:hanging="360"/>
      </w:pPr>
      <w:r>
        <w:rPr>
          <w:sz w:val="22"/>
          <w:szCs w:val="22"/>
        </w:rPr>
        <w:t>DrivAge and BonusMalus correlation of -0.48. Older drivers tend to have longer no-claims histories and lower BonusMalus scores. These two features share overlapping information.</w:t>
      </w:r>
    </w:p>
    <w:p w14:paraId="5115CF68">
      <w:r>
        <w:br w:type="page"/>
      </w:r>
    </w:p>
    <w:p w14:paraId="3FD8FD20">
      <w:pPr>
        <w:pStyle w:val="2"/>
        <w:pBdr>
          <w:bottom w:val="single" w:color="1F4E79" w:sz="6" w:space="0"/>
        </w:pBdr>
        <w:spacing w:before="400" w:after="200"/>
      </w:pPr>
      <w:r>
        <w:t>3. Feature Engineering</w:t>
      </w:r>
    </w:p>
    <w:p w14:paraId="42656329">
      <w:pPr>
        <w:pStyle w:val="3"/>
        <w:spacing w:before="300" w:after="150"/>
      </w:pPr>
      <w:r>
        <w:t>3.1 Outlier Capping</w:t>
      </w:r>
    </w:p>
    <w:p w14:paraId="60CCAE23">
      <w:pPr>
        <w:spacing w:before="80" w:after="80"/>
      </w:pPr>
      <w:r>
        <w:rPr>
          <w:sz w:val="22"/>
          <w:szCs w:val="22"/>
        </w:rPr>
        <w:t>Three variables required capping based on EDA findings, following conventions documented in the actuarial literature for this specific dataset:</w:t>
      </w:r>
    </w:p>
    <w:p w14:paraId="2359476A">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3120"/>
        <w:gridCol w:w="3120"/>
      </w:tblGrid>
      <w:tr w14:paraId="753923D2">
        <w:trPr>
          <w:tblHeader/>
        </w:trPr>
        <w:tc>
          <w:tcPr>
            <w:tcW w:w="3120" w:type="dxa"/>
            <w:shd w:val="clear" w:color="auto" w:fill="1F4E79"/>
          </w:tcPr>
          <w:p w14:paraId="14ED1F3F">
            <w:pPr>
              <w:jc w:val="center"/>
            </w:pPr>
            <w:r>
              <w:rPr>
                <w:b/>
                <w:bCs/>
                <w:color w:val="FFFFFF"/>
                <w:sz w:val="20"/>
                <w:szCs w:val="20"/>
              </w:rPr>
              <w:t>Variable</w:t>
            </w:r>
          </w:p>
        </w:tc>
        <w:tc>
          <w:tcPr>
            <w:tcW w:w="3120" w:type="dxa"/>
            <w:shd w:val="clear" w:color="auto" w:fill="1F4E79"/>
          </w:tcPr>
          <w:p w14:paraId="1B8C0AC7">
            <w:pPr>
              <w:jc w:val="center"/>
            </w:pPr>
            <w:r>
              <w:rPr>
                <w:b/>
                <w:bCs/>
                <w:color w:val="FFFFFF"/>
                <w:sz w:val="20"/>
                <w:szCs w:val="20"/>
              </w:rPr>
              <w:t>Cap Value</w:t>
            </w:r>
          </w:p>
        </w:tc>
        <w:tc>
          <w:tcPr>
            <w:tcW w:w="3120" w:type="dxa"/>
            <w:shd w:val="clear" w:color="auto" w:fill="1F4E79"/>
          </w:tcPr>
          <w:p w14:paraId="46D52FB9">
            <w:pPr>
              <w:jc w:val="center"/>
            </w:pPr>
            <w:r>
              <w:rPr>
                <w:b/>
                <w:bCs/>
                <w:color w:val="FFFFFF"/>
                <w:sz w:val="20"/>
                <w:szCs w:val="20"/>
              </w:rPr>
              <w:t>Rationale</w:t>
            </w:r>
          </w:p>
        </w:tc>
      </w:tr>
      <w:tr w14:paraId="41225AD2">
        <w:tc>
          <w:tcPr>
            <w:tcW w:w="3120" w:type="dxa"/>
            <w:shd w:val="clear" w:color="auto" w:fill="FFFFFF"/>
          </w:tcPr>
          <w:p w14:paraId="286F88BD">
            <w:pPr>
              <w:jc w:val="center"/>
            </w:pPr>
            <w:r>
              <w:rPr>
                <w:sz w:val="20"/>
                <w:szCs w:val="20"/>
              </w:rPr>
              <w:t>VehAge</w:t>
            </w:r>
          </w:p>
        </w:tc>
        <w:tc>
          <w:tcPr>
            <w:tcW w:w="3120" w:type="dxa"/>
            <w:shd w:val="clear" w:color="auto" w:fill="FFFFFF"/>
          </w:tcPr>
          <w:p w14:paraId="3A4C4F8D">
            <w:pPr>
              <w:jc w:val="center"/>
            </w:pPr>
            <w:r>
              <w:rPr>
                <w:sz w:val="20"/>
                <w:szCs w:val="20"/>
              </w:rPr>
              <w:t>20</w:t>
            </w:r>
          </w:p>
        </w:tc>
        <w:tc>
          <w:tcPr>
            <w:tcW w:w="3120" w:type="dxa"/>
            <w:shd w:val="clear" w:color="auto" w:fill="FFFFFF"/>
          </w:tcPr>
          <w:p w14:paraId="0E2B40FB">
            <w:pPr>
              <w:jc w:val="center"/>
            </w:pPr>
            <w:r>
              <w:rPr>
                <w:sz w:val="20"/>
                <w:szCs w:val="20"/>
              </w:rPr>
              <w:t>Values above 20 are implausible for an active insured vehicle</w:t>
            </w:r>
          </w:p>
        </w:tc>
      </w:tr>
      <w:tr w14:paraId="3DEAE82A">
        <w:tc>
          <w:tcPr>
            <w:tcW w:w="3120" w:type="dxa"/>
            <w:shd w:val="clear" w:color="auto" w:fill="F2F2F2"/>
          </w:tcPr>
          <w:p w14:paraId="2EAA4C91">
            <w:pPr>
              <w:jc w:val="center"/>
            </w:pPr>
            <w:r>
              <w:rPr>
                <w:sz w:val="20"/>
                <w:szCs w:val="20"/>
              </w:rPr>
              <w:t>Exposure</w:t>
            </w:r>
          </w:p>
        </w:tc>
        <w:tc>
          <w:tcPr>
            <w:tcW w:w="3120" w:type="dxa"/>
            <w:shd w:val="clear" w:color="auto" w:fill="F2F2F2"/>
          </w:tcPr>
          <w:p w14:paraId="07CC852F">
            <w:pPr>
              <w:jc w:val="center"/>
            </w:pPr>
            <w:r>
              <w:rPr>
                <w:sz w:val="20"/>
                <w:szCs w:val="20"/>
              </w:rPr>
              <w:t>1.0</w:t>
            </w:r>
          </w:p>
        </w:tc>
        <w:tc>
          <w:tcPr>
            <w:tcW w:w="3120" w:type="dxa"/>
            <w:shd w:val="clear" w:color="auto" w:fill="F2F2F2"/>
          </w:tcPr>
          <w:p w14:paraId="4AFFBB03">
            <w:pPr>
              <w:jc w:val="center"/>
            </w:pPr>
            <w:r>
              <w:rPr>
                <w:sz w:val="20"/>
                <w:szCs w:val="20"/>
              </w:rPr>
              <w:t>A policy cannot be active for more than a full year by definition</w:t>
            </w:r>
          </w:p>
        </w:tc>
      </w:tr>
      <w:tr w14:paraId="59DED222">
        <w:tc>
          <w:tcPr>
            <w:tcW w:w="3120" w:type="dxa"/>
            <w:shd w:val="clear" w:color="auto" w:fill="FFFFFF"/>
          </w:tcPr>
          <w:p w14:paraId="6BD37EEF">
            <w:pPr>
              <w:jc w:val="center"/>
            </w:pPr>
            <w:r>
              <w:rPr>
                <w:sz w:val="20"/>
                <w:szCs w:val="20"/>
              </w:rPr>
              <w:t>ClaimNb</w:t>
            </w:r>
          </w:p>
        </w:tc>
        <w:tc>
          <w:tcPr>
            <w:tcW w:w="3120" w:type="dxa"/>
            <w:shd w:val="clear" w:color="auto" w:fill="FFFFFF"/>
          </w:tcPr>
          <w:p w14:paraId="1CB5A586">
            <w:pPr>
              <w:jc w:val="center"/>
            </w:pPr>
            <w:r>
              <w:rPr>
                <w:sz w:val="20"/>
                <w:szCs w:val="20"/>
              </w:rPr>
              <w:t>4</w:t>
            </w:r>
          </w:p>
        </w:tc>
        <w:tc>
          <w:tcPr>
            <w:tcW w:w="3120" w:type="dxa"/>
            <w:shd w:val="clear" w:color="auto" w:fill="FFFFFF"/>
          </w:tcPr>
          <w:p w14:paraId="5A2940F8">
            <w:pPr>
              <w:jc w:val="center"/>
            </w:pPr>
            <w:r>
              <w:rPr>
                <w:sz w:val="20"/>
                <w:szCs w:val="20"/>
              </w:rPr>
              <w:t>Extreme claim counts add noise; standard cap in actuarial literature for this dataset</w:t>
            </w:r>
          </w:p>
        </w:tc>
      </w:tr>
    </w:tbl>
    <w:p w14:paraId="60C7A5A7">
      <w:pPr>
        <w:spacing w:before="80" w:after="80"/>
      </w:pPr>
    </w:p>
    <w:p w14:paraId="0060E427">
      <w:pPr>
        <w:spacing w:before="80" w:after="80"/>
      </w:pPr>
      <w:r>
        <w:rPr>
          <w:sz w:val="22"/>
          <w:szCs w:val="22"/>
        </w:rPr>
        <w:t>These caps are not arbitrary choices. Using clip() rather than dropping rows preserves the full dataset while removing the disproportionate influence of a small number of extreme values on the loss function.</w:t>
      </w:r>
    </w:p>
    <w:p w14:paraId="2174A853">
      <w:pPr>
        <w:spacing w:before="80" w:after="80"/>
      </w:pPr>
    </w:p>
    <w:p w14:paraId="06205094">
      <w:pPr>
        <w:pStyle w:val="3"/>
        <w:spacing w:before="300" w:after="150"/>
      </w:pPr>
      <w:r>
        <w:t>3.2 Categorical Encoding Strategy</w:t>
      </w:r>
    </w:p>
    <w:p w14:paraId="3A7E6531">
      <w:pPr>
        <w:spacing w:before="80" w:after="80"/>
      </w:pPr>
      <w:r>
        <w:rPr>
          <w:sz w:val="22"/>
          <w:szCs w:val="22"/>
        </w:rPr>
        <w:t>The encoding strategy was designed to serve both models from the same cleaned base, making the comparison fair:</w:t>
      </w:r>
    </w:p>
    <w:p w14:paraId="47E7F64C">
      <w:pPr>
        <w:pStyle w:val="16"/>
        <w:numPr>
          <w:ilvl w:val="0"/>
          <w:numId w:val="1"/>
        </w:numPr>
        <w:spacing w:before="60" w:after="60"/>
        <w:ind w:left="360" w:hanging="360"/>
      </w:pPr>
      <w:r>
        <w:rPr>
          <w:sz w:val="22"/>
          <w:szCs w:val="22"/>
        </w:rPr>
        <w:t>Area: encoded as an ordinal integer (A=0 through F=5). The EDA showed a clear monotonic gradient, so one-hot encoding would discard ordering information that ordinal encoding preserves.</w:t>
      </w:r>
    </w:p>
    <w:p w14:paraId="0E30F116">
      <w:pPr>
        <w:pStyle w:val="16"/>
        <w:numPr>
          <w:ilvl w:val="0"/>
          <w:numId w:val="1"/>
        </w:numPr>
        <w:spacing w:before="60" w:after="60"/>
        <w:ind w:left="360" w:hanging="360"/>
      </w:pPr>
      <w:r>
        <w:rPr>
          <w:sz w:val="22"/>
          <w:szCs w:val="22"/>
        </w:rPr>
        <w:t>VehBrand, VehGas, Region for the GLM: one-hot encoded with drop_first=True to avoid the dummy variable trap. This expands 3 columns into approximately 30 binary columns.</w:t>
      </w:r>
    </w:p>
    <w:p w14:paraId="2228E92F">
      <w:pPr>
        <w:pStyle w:val="16"/>
        <w:numPr>
          <w:ilvl w:val="0"/>
          <w:numId w:val="1"/>
        </w:numPr>
        <w:spacing w:before="60" w:after="60"/>
        <w:ind w:left="360" w:hanging="360"/>
      </w:pPr>
      <w:r>
        <w:rPr>
          <w:sz w:val="22"/>
          <w:szCs w:val="22"/>
        </w:rPr>
        <w:t>VehBrand, VehGas, Region for LightGBM: kept as pandas category dtype. LightGBM's native categorical handling is more efficient than one-hot encoding and can capture interaction effects between categories that one-hot encoding loses.</w:t>
      </w:r>
    </w:p>
    <w:p w14:paraId="1F5DC9B0">
      <w:pPr>
        <w:spacing w:before="80" w:after="80"/>
      </w:pPr>
    </w:p>
    <w:p w14:paraId="15D0C81E">
      <w:pPr>
        <w:spacing w:before="80" w:after="80"/>
      </w:pPr>
      <w:r>
        <w:rPr>
          <w:sz w:val="22"/>
          <w:szCs w:val="22"/>
        </w:rPr>
        <w:t>The GLM receives 38 features and LightGBM receives 9. The difference reflects encoding strategy, not information asymmetry. Both models receive equivalent information.</w:t>
      </w:r>
    </w:p>
    <w:p w14:paraId="72B44D33">
      <w:pPr>
        <w:spacing w:before="80" w:after="80"/>
      </w:pPr>
    </w:p>
    <w:p w14:paraId="3C26E3E5">
      <w:pPr>
        <w:pStyle w:val="3"/>
        <w:spacing w:before="300" w:after="150"/>
      </w:pPr>
      <w:r>
        <w:t>3.3 Train / Test Split</w:t>
      </w:r>
    </w:p>
    <w:p w14:paraId="1DC46C51">
      <w:pPr>
        <w:spacing w:before="80" w:after="80"/>
      </w:pPr>
      <w:r>
        <w:rPr>
          <w:sz w:val="22"/>
          <w:szCs w:val="22"/>
        </w:rPr>
        <w:t>An 80/20 random split was applied with stratification on whether a policy had any claim. Without stratification, a purely random split could produce test sets with unrepresentative claim rates by chance, given the 95% zero-claim imbalance.</w:t>
      </w:r>
    </w:p>
    <w:p w14:paraId="60FFD21E">
      <w:pPr>
        <w:spacing w:before="80" w:after="80"/>
      </w:pPr>
    </w:p>
    <w:p w14:paraId="42482201">
      <w:pPr>
        <w:shd w:val="clear" w:fill="EEF2F7"/>
        <w:spacing w:before="60" w:after="60"/>
        <w:ind w:left="720"/>
      </w:pPr>
      <w:r>
        <w:rPr>
          <w:rFonts w:ascii="Courier New" w:hAnsi="Courier New" w:eastAsia="Courier New" w:cs="Courier New"/>
          <w:color w:val="2E4057"/>
          <w:sz w:val="18"/>
          <w:szCs w:val="18"/>
        </w:rPr>
        <w:t>train_df, test_df = train_test_split(</w:t>
      </w:r>
    </w:p>
    <w:p w14:paraId="383ADF07">
      <w:pPr>
        <w:shd w:val="clear" w:fill="EEF2F7"/>
        <w:spacing w:before="60" w:after="60"/>
        <w:ind w:left="720"/>
      </w:pPr>
      <w:r>
        <w:rPr>
          <w:rFonts w:ascii="Courier New" w:hAnsi="Courier New" w:eastAsia="Courier New" w:cs="Courier New"/>
          <w:color w:val="2E4057"/>
          <w:sz w:val="18"/>
          <w:szCs w:val="18"/>
        </w:rPr>
        <w:t xml:space="preserve">    df, test_size=0.2, random_state=42,</w:t>
      </w:r>
    </w:p>
    <w:p w14:paraId="0CEA91FE">
      <w:pPr>
        <w:shd w:val="clear" w:fill="EEF2F7"/>
        <w:spacing w:before="60" w:after="60"/>
        <w:ind w:left="720"/>
      </w:pPr>
      <w:r>
        <w:rPr>
          <w:rFonts w:ascii="Courier New" w:hAnsi="Courier New" w:eastAsia="Courier New" w:cs="Courier New"/>
          <w:color w:val="2E4057"/>
          <w:sz w:val="18"/>
          <w:szCs w:val="18"/>
        </w:rPr>
        <w:t xml:space="preserve">    stratify=df['had_claim']</w:t>
      </w:r>
    </w:p>
    <w:p w14:paraId="0E730694">
      <w:pPr>
        <w:shd w:val="clear" w:fill="EEF2F7"/>
        <w:spacing w:before="60" w:after="60"/>
        <w:ind w:left="720"/>
      </w:pPr>
      <w:r>
        <w:rPr>
          <w:rFonts w:ascii="Courier New" w:hAnsi="Courier New" w:eastAsia="Courier New" w:cs="Courier New"/>
          <w:color w:val="2E4057"/>
          <w:sz w:val="18"/>
          <w:szCs w:val="18"/>
        </w:rPr>
        <w:t>)</w:t>
      </w:r>
    </w:p>
    <w:p w14:paraId="0BB191F2">
      <w:pPr>
        <w:spacing w:before="80" w:after="80"/>
      </w:pPr>
    </w:p>
    <w:p w14:paraId="23118D5F">
      <w:pPr>
        <w:spacing w:before="80" w:after="80"/>
      </w:pPr>
      <w:r>
        <w:rPr>
          <w:sz w:val="22"/>
          <w:szCs w:val="22"/>
        </w:rPr>
        <w:t>The resulting splits show near-identical portfolio frequencies: 0.1005 in train and 0.1009 in test, confirming a representative split.</w:t>
      </w:r>
    </w:p>
    <w:p w14:paraId="255C8FD1">
      <w:r>
        <w:br w:type="page"/>
      </w:r>
    </w:p>
    <w:p w14:paraId="5A90B45D">
      <w:pPr>
        <w:pStyle w:val="2"/>
        <w:pBdr>
          <w:bottom w:val="single" w:color="1F4E79" w:sz="6" w:space="0"/>
        </w:pBdr>
        <w:spacing w:before="400" w:after="200"/>
      </w:pPr>
      <w:r>
        <w:t>4. Modeling</w:t>
      </w:r>
    </w:p>
    <w:p w14:paraId="6C974319">
      <w:pPr>
        <w:pStyle w:val="3"/>
        <w:spacing w:before="300" w:after="150"/>
      </w:pPr>
      <w:r>
        <w:t>4.1 The Offset: A Critical Modeling Decision</w:t>
      </w:r>
    </w:p>
    <w:p w14:paraId="6A787260">
      <w:pPr>
        <w:spacing w:before="80" w:after="80"/>
      </w:pPr>
      <w:r>
        <w:rPr>
          <w:sz w:val="22"/>
          <w:szCs w:val="22"/>
        </w:rPr>
        <w:t>Both models predict claim frequency as a rate per unit of exposure. The Poisson GLM achieves this via a log-link offset:</w:t>
      </w:r>
    </w:p>
    <w:p w14:paraId="6E65C2A8">
      <w:pPr>
        <w:spacing w:before="80" w:after="80"/>
      </w:pPr>
    </w:p>
    <w:p w14:paraId="7457A401">
      <w:pPr>
        <w:shd w:val="clear" w:fill="EEF2F7"/>
        <w:spacing w:before="60" w:after="60"/>
        <w:ind w:left="720"/>
      </w:pPr>
      <w:r>
        <w:rPr>
          <w:rFonts w:ascii="Courier New" w:hAnsi="Courier New" w:eastAsia="Courier New" w:cs="Courier New"/>
          <w:color w:val="2E4057"/>
          <w:sz w:val="18"/>
          <w:szCs w:val="18"/>
        </w:rPr>
        <w:t>log(E[ClaimNb]) = log(Exposure) + b0 + b1*x1 + ... + bp*xp</w:t>
      </w:r>
    </w:p>
    <w:p w14:paraId="1328157C">
      <w:pPr>
        <w:spacing w:before="80" w:after="80"/>
      </w:pPr>
    </w:p>
    <w:p w14:paraId="422B595A">
      <w:pPr>
        <w:spacing w:before="80" w:after="80"/>
      </w:pPr>
      <w:r>
        <w:rPr>
          <w:sz w:val="22"/>
          <w:szCs w:val="22"/>
        </w:rPr>
        <w:t>The log(Exposure) term enters with a fixed coefficient of 1. It is not estimated from data. This is what distinguishes an offset from an ordinary feature. A policy observed for half a year is expected to produce half as many claims as the same policy observed for a full year, all else equal. This constraint is imposed structurally rather than left for the model to learn.</w:t>
      </w:r>
    </w:p>
    <w:p w14:paraId="5889D4F9">
      <w:pPr>
        <w:spacing w:before="80" w:after="80"/>
      </w:pPr>
    </w:p>
    <w:p w14:paraId="28ACA9D6">
      <w:pPr>
        <w:spacing w:before="80" w:after="80"/>
      </w:pPr>
      <w:r>
        <w:rPr>
          <w:sz w:val="22"/>
          <w:szCs w:val="22"/>
        </w:rPr>
        <w:t>LightGBM implements the same constraint via init_score in the Dataset constructor, which sets the starting point for boosting iterations:</w:t>
      </w:r>
    </w:p>
    <w:p w14:paraId="10187E31">
      <w:pPr>
        <w:spacing w:before="80" w:after="80"/>
      </w:pPr>
    </w:p>
    <w:p w14:paraId="7768E7E2">
      <w:pPr>
        <w:shd w:val="clear" w:fill="EEF2F7"/>
        <w:spacing w:before="60" w:after="60"/>
        <w:ind w:left="720"/>
      </w:pPr>
      <w:r>
        <w:rPr>
          <w:rFonts w:ascii="Courier New" w:hAnsi="Courier New" w:eastAsia="Courier New" w:cs="Courier New"/>
          <w:color w:val="2E4057"/>
          <w:sz w:val="18"/>
          <w:szCs w:val="18"/>
        </w:rPr>
        <w:t>train_set = lgb.Dataset(</w:t>
      </w:r>
    </w:p>
    <w:p w14:paraId="04F4A52A">
      <w:pPr>
        <w:shd w:val="clear" w:fill="EEF2F7"/>
        <w:spacing w:before="60" w:after="60"/>
        <w:ind w:left="720"/>
      </w:pPr>
      <w:r>
        <w:rPr>
          <w:rFonts w:ascii="Courier New" w:hAnsi="Courier New" w:eastAsia="Courier New" w:cs="Courier New"/>
          <w:color w:val="2E4057"/>
          <w:sz w:val="18"/>
          <w:szCs w:val="18"/>
        </w:rPr>
        <w:t xml:space="preserve">    X_train, label=y_train,</w:t>
      </w:r>
    </w:p>
    <w:p w14:paraId="266F556D">
      <w:pPr>
        <w:shd w:val="clear" w:fill="EEF2F7"/>
        <w:spacing w:before="60" w:after="60"/>
        <w:ind w:left="720"/>
      </w:pPr>
      <w:r>
        <w:rPr>
          <w:rFonts w:ascii="Courier New" w:hAnsi="Courier New" w:eastAsia="Courier New" w:cs="Courier New"/>
          <w:color w:val="2E4057"/>
          <w:sz w:val="18"/>
          <w:szCs w:val="18"/>
        </w:rPr>
        <w:t xml:space="preserve">    init_score=np.log(exposure_train),</w:t>
      </w:r>
    </w:p>
    <w:p w14:paraId="29BF4D96">
      <w:pPr>
        <w:shd w:val="clear" w:fill="EEF2F7"/>
        <w:spacing w:before="60" w:after="60"/>
        <w:ind w:left="720"/>
      </w:pPr>
      <w:r>
        <w:rPr>
          <w:rFonts w:ascii="Courier New" w:hAnsi="Courier New" w:eastAsia="Courier New" w:cs="Courier New"/>
          <w:color w:val="2E4057"/>
          <w:sz w:val="18"/>
          <w:szCs w:val="18"/>
        </w:rPr>
        <w:t xml:space="preserve">    categorical_feature=categorical_cols,</w:t>
      </w:r>
    </w:p>
    <w:p w14:paraId="21A6A3DE">
      <w:pPr>
        <w:shd w:val="clear" w:fill="EEF2F7"/>
        <w:spacing w:before="60" w:after="60"/>
        <w:ind w:left="720"/>
      </w:pPr>
      <w:r>
        <w:rPr>
          <w:rFonts w:ascii="Courier New" w:hAnsi="Courier New" w:eastAsia="Courier New" w:cs="Courier New"/>
          <w:color w:val="2E4057"/>
          <w:sz w:val="18"/>
          <w:szCs w:val="18"/>
        </w:rPr>
        <w:t>)</w:t>
      </w:r>
    </w:p>
    <w:p w14:paraId="4AD6580B">
      <w:pPr>
        <w:spacing w:before="80" w:after="80"/>
      </w:pPr>
    </w:p>
    <w:p w14:paraId="0FBAB3EA">
      <w:pPr>
        <w:spacing w:before="80" w:after="80"/>
      </w:pPr>
      <w:r>
        <w:rPr>
          <w:sz w:val="22"/>
          <w:szCs w:val="22"/>
        </w:rPr>
        <w:t>LightGBM does not automatically reapply init_score at prediction time. At inference, raw scores must be extracted and the offset added back manually:</w:t>
      </w:r>
    </w:p>
    <w:p w14:paraId="5D1B2987">
      <w:pPr>
        <w:spacing w:before="80" w:after="80"/>
      </w:pPr>
    </w:p>
    <w:p w14:paraId="07F3ACB2">
      <w:pPr>
        <w:shd w:val="clear" w:fill="EEF2F7"/>
        <w:spacing w:before="60" w:after="60"/>
        <w:ind w:left="720"/>
      </w:pPr>
      <w:r>
        <w:rPr>
          <w:rFonts w:ascii="Courier New" w:hAnsi="Courier New" w:eastAsia="Courier New" w:cs="Courier New"/>
          <w:color w:val="2E4057"/>
          <w:sz w:val="18"/>
          <w:szCs w:val="18"/>
        </w:rPr>
        <w:t>raw_pred = model.predict(X_test, raw_score=True)</w:t>
      </w:r>
    </w:p>
    <w:p w14:paraId="57D99A61">
      <w:pPr>
        <w:shd w:val="clear" w:fill="EEF2F7"/>
        <w:spacing w:before="60" w:after="60"/>
        <w:ind w:left="720"/>
      </w:pPr>
      <w:r>
        <w:rPr>
          <w:rFonts w:ascii="Courier New" w:hAnsi="Courier New" w:eastAsia="Courier New" w:cs="Courier New"/>
          <w:color w:val="2E4057"/>
          <w:sz w:val="18"/>
          <w:szCs w:val="18"/>
        </w:rPr>
        <w:t>final_pred = np.exp(raw_pred + np.log(exposure_test))</w:t>
      </w:r>
    </w:p>
    <w:p w14:paraId="7AC1B97A">
      <w:pPr>
        <w:spacing w:before="80" w:after="80"/>
      </w:pPr>
    </w:p>
    <w:p w14:paraId="6D28A2CF">
      <w:pPr>
        <w:spacing w:before="80" w:after="80"/>
      </w:pPr>
      <w:r>
        <w:rPr>
          <w:sz w:val="22"/>
          <w:szCs w:val="22"/>
        </w:rPr>
        <w:t>Skipping this step produces predictions that ignore exposure entirely. It is a silent error that invalidates all downstream evaluation.</w:t>
      </w:r>
    </w:p>
    <w:p w14:paraId="09FD3A10">
      <w:pPr>
        <w:spacing w:before="80" w:after="80"/>
      </w:pPr>
    </w:p>
    <w:p w14:paraId="16BC3372">
      <w:pPr>
        <w:pStyle w:val="3"/>
        <w:spacing w:before="300" w:after="150"/>
      </w:pPr>
      <w:r>
        <w:t>4.2 Poisson GLM Baseline</w:t>
      </w:r>
    </w:p>
    <w:p w14:paraId="6999B8EC">
      <w:pPr>
        <w:spacing w:before="80" w:after="80"/>
      </w:pPr>
      <w:r>
        <w:rPr>
          <w:sz w:val="22"/>
          <w:szCs w:val="22"/>
        </w:rPr>
        <w:t>The GLM was fitted using statsmodels rather than scikit-learn's PoissonRegressor. statsmodels provides the full classical GLM output including coefficient estimates, standard errors, p-values, and deviance, which matter for the actuarial interpretation of results. scikit-learn's implementation only provides predictions.</w:t>
      </w:r>
    </w:p>
    <w:p w14:paraId="797C17A7">
      <w:pPr>
        <w:spacing w:before="80" w:after="80"/>
      </w:pPr>
    </w:p>
    <w:p w14:paraId="3A3FBFEF">
      <w:pPr>
        <w:shd w:val="clear" w:fill="EEF2F7"/>
        <w:spacing w:before="60" w:after="60"/>
        <w:ind w:left="720"/>
      </w:pPr>
      <w:r>
        <w:rPr>
          <w:rFonts w:ascii="Courier New" w:hAnsi="Courier New" w:eastAsia="Courier New" w:cs="Courier New"/>
          <w:color w:val="2E4057"/>
          <w:sz w:val="18"/>
          <w:szCs w:val="18"/>
        </w:rPr>
        <w:t>glm_model = sm.GLM(</w:t>
      </w:r>
    </w:p>
    <w:p w14:paraId="410B84C7">
      <w:pPr>
        <w:shd w:val="clear" w:fill="EEF2F7"/>
        <w:spacing w:before="60" w:after="60"/>
        <w:ind w:left="720"/>
      </w:pPr>
      <w:r>
        <w:rPr>
          <w:rFonts w:ascii="Courier New" w:hAnsi="Courier New" w:eastAsia="Courier New" w:cs="Courier New"/>
          <w:color w:val="2E4057"/>
          <w:sz w:val="18"/>
          <w:szCs w:val="18"/>
        </w:rPr>
        <w:t xml:space="preserve">    y_train, X_train_sm,</w:t>
      </w:r>
    </w:p>
    <w:p w14:paraId="7C70ABAB">
      <w:pPr>
        <w:shd w:val="clear" w:fill="EEF2F7"/>
        <w:spacing w:before="60" w:after="60"/>
        <w:ind w:left="720"/>
      </w:pPr>
      <w:r>
        <w:rPr>
          <w:rFonts w:ascii="Courier New" w:hAnsi="Courier New" w:eastAsia="Courier New" w:cs="Courier New"/>
          <w:color w:val="2E4057"/>
          <w:sz w:val="18"/>
          <w:szCs w:val="18"/>
        </w:rPr>
        <w:t xml:space="preserve">    family=sm.families.Poisson(),</w:t>
      </w:r>
    </w:p>
    <w:p w14:paraId="5C123992">
      <w:pPr>
        <w:shd w:val="clear" w:fill="EEF2F7"/>
        <w:spacing w:before="60" w:after="60"/>
        <w:ind w:left="720"/>
      </w:pPr>
      <w:r>
        <w:rPr>
          <w:rFonts w:ascii="Courier New" w:hAnsi="Courier New" w:eastAsia="Courier New" w:cs="Courier New"/>
          <w:color w:val="2E4057"/>
          <w:sz w:val="18"/>
          <w:szCs w:val="18"/>
        </w:rPr>
        <w:t xml:space="preserve">    offset=np.log(train['Exposure'])</w:t>
      </w:r>
    </w:p>
    <w:p w14:paraId="5FD2323B">
      <w:pPr>
        <w:shd w:val="clear" w:fill="EEF2F7"/>
        <w:spacing w:before="60" w:after="60"/>
        <w:ind w:left="720"/>
      </w:pPr>
      <w:r>
        <w:rPr>
          <w:rFonts w:ascii="Courier New" w:hAnsi="Courier New" w:eastAsia="Courier New" w:cs="Courier New"/>
          <w:color w:val="2E4057"/>
          <w:sz w:val="18"/>
          <w:szCs w:val="18"/>
        </w:rPr>
        <w:t>)</w:t>
      </w:r>
    </w:p>
    <w:p w14:paraId="7835DABF">
      <w:pPr>
        <w:shd w:val="clear" w:fill="EEF2F7"/>
        <w:spacing w:before="60" w:after="60"/>
        <w:ind w:left="720"/>
      </w:pPr>
      <w:r>
        <w:rPr>
          <w:rFonts w:ascii="Courier New" w:hAnsi="Courier New" w:eastAsia="Courier New" w:cs="Courier New"/>
          <w:color w:val="2E4057"/>
          <w:sz w:val="18"/>
          <w:szCs w:val="18"/>
        </w:rPr>
        <w:t>glm_result = glm_model.fit()</w:t>
      </w:r>
    </w:p>
    <w:p w14:paraId="35ED137D">
      <w:pPr>
        <w:spacing w:before="80" w:after="80"/>
      </w:pPr>
    </w:p>
    <w:p w14:paraId="25DC0E94">
      <w:pPr>
        <w:spacing w:before="80" w:after="80"/>
      </w:pPr>
      <w:r>
        <w:rPr>
          <w:sz w:val="22"/>
          <w:szCs w:val="22"/>
        </w:rPr>
        <w:t>Key observations from the GLM coefficient table:</w:t>
      </w:r>
    </w:p>
    <w:p w14:paraId="2FF23BAB">
      <w:pPr>
        <w:pStyle w:val="16"/>
        <w:numPr>
          <w:ilvl w:val="0"/>
          <w:numId w:val="1"/>
        </w:numPr>
        <w:spacing w:before="60" w:after="60"/>
        <w:ind w:left="360" w:hanging="360"/>
      </w:pPr>
      <w:r>
        <w:rPr>
          <w:sz w:val="22"/>
          <w:szCs w:val="22"/>
        </w:rPr>
        <w:t>BonusMalus coefficient: +0.0227 (p &lt; 0.001). Every 1-point increase multiplies expected frequency by exp(0.0227) = 1.023. Given BonusMalus ranges from 50 to 230 in this dataset, the predicted frequency range from this single feature alone spans a factor of approximately 56.</w:t>
      </w:r>
    </w:p>
    <w:p w14:paraId="12E2E0CA">
      <w:pPr>
        <w:pStyle w:val="16"/>
        <w:numPr>
          <w:ilvl w:val="0"/>
          <w:numId w:val="1"/>
        </w:numPr>
        <w:spacing w:before="60" w:after="60"/>
        <w:ind w:left="360" w:hanging="360"/>
      </w:pPr>
      <w:r>
        <w:rPr>
          <w:sz w:val="22"/>
          <w:szCs w:val="22"/>
        </w:rPr>
        <w:t>VehAge coefficient: -0.041 (p &lt; 0.001). The negative sign is counterintuitive but reflects partial correlation structure. Newer vehicles tend to be driven by younger, higher-risk drivers, and this confounding is partially absorbed by DrivAge and BonusMalus.</w:t>
      </w:r>
    </w:p>
    <w:p w14:paraId="06609B82">
      <w:pPr>
        <w:pStyle w:val="16"/>
        <w:numPr>
          <w:ilvl w:val="0"/>
          <w:numId w:val="1"/>
        </w:numPr>
        <w:spacing w:before="60" w:after="60"/>
        <w:ind w:left="360" w:hanging="360"/>
      </w:pPr>
      <w:r>
        <w:rPr>
          <w:sz w:val="22"/>
          <w:szCs w:val="22"/>
        </w:rPr>
        <w:t>DrivAge coefficient: +0.006 (p &lt; 0.001). Positive but small. The linear term is summarizing a U-shaped relationship with a straight line, an acknowledged misspecification.</w:t>
      </w:r>
    </w:p>
    <w:p w14:paraId="22B44057">
      <w:pPr>
        <w:pStyle w:val="16"/>
        <w:numPr>
          <w:ilvl w:val="0"/>
          <w:numId w:val="1"/>
        </w:numPr>
        <w:spacing w:before="60" w:after="60"/>
        <w:ind w:left="360" w:hanging="360"/>
      </w:pPr>
      <w:r>
        <w:rPr>
          <w:sz w:val="22"/>
          <w:szCs w:val="22"/>
        </w:rPr>
        <w:t>Density: not significant (p = 0.342). Despite a clear visual pattern in EDA, the linear term for Density adds no explanatory power once Region is already in the model.</w:t>
      </w:r>
    </w:p>
    <w:p w14:paraId="68E2908E">
      <w:pPr>
        <w:pStyle w:val="16"/>
        <w:numPr>
          <w:ilvl w:val="0"/>
          <w:numId w:val="1"/>
        </w:numPr>
        <w:spacing w:before="60" w:after="60"/>
        <w:ind w:left="360" w:hanging="360"/>
      </w:pPr>
      <w:r>
        <w:rPr>
          <w:sz w:val="22"/>
          <w:szCs w:val="22"/>
        </w:rPr>
        <w:t>Pseudo R2: 0.011. Approximately 1% of variance explained. Low but typical for this dataset and consistent with published benchmarks.</w:t>
      </w:r>
    </w:p>
    <w:p w14:paraId="04009A55">
      <w:pPr>
        <w:spacing w:before="80" w:after="80"/>
      </w:pPr>
    </w:p>
    <w:p w14:paraId="1906AB4F">
      <w:pPr>
        <w:pStyle w:val="3"/>
        <w:spacing w:before="300" w:after="150"/>
      </w:pPr>
      <w:r>
        <w:t>4.3 LightGBM Challenger</w:t>
      </w:r>
    </w:p>
    <w:p w14:paraId="72289683">
      <w:pPr>
        <w:spacing w:before="80" w:after="80"/>
      </w:pPr>
      <w:r>
        <w:rPr>
          <w:sz w:val="22"/>
          <w:szCs w:val="22"/>
        </w:rPr>
        <w:t>LightGBM was chosen over XGBoost for two reasons: native categorical feature handling, eliminating the need for one-hot encoding and allowing the model to capture category-level interactions, and faster training on a dataset of this size.</w:t>
      </w:r>
    </w:p>
    <w:p w14:paraId="4F1814AE">
      <w:pPr>
        <w:spacing w:before="80" w:after="80"/>
      </w:pPr>
    </w:p>
    <w:p w14:paraId="593E18C2">
      <w:pPr>
        <w:spacing w:before="80" w:after="80"/>
      </w:pPr>
      <w:r>
        <w:rPr>
          <w:sz w:val="22"/>
          <w:szCs w:val="22"/>
        </w:rPr>
        <w:t>Hyperparameter choices were deliberately conservative, appropriate for a dataset with low signal-to-noise ratio:</w:t>
      </w:r>
    </w:p>
    <w:p w14:paraId="322DDBA5">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3120"/>
        <w:gridCol w:w="3120"/>
      </w:tblGrid>
      <w:tr w14:paraId="2BEAC61F">
        <w:trPr>
          <w:tblHeader/>
        </w:trPr>
        <w:tc>
          <w:tcPr>
            <w:tcW w:w="3120" w:type="dxa"/>
            <w:shd w:val="clear" w:color="auto" w:fill="1F4E79"/>
          </w:tcPr>
          <w:p w14:paraId="1B9C6F89">
            <w:pPr>
              <w:jc w:val="center"/>
            </w:pPr>
            <w:r>
              <w:rPr>
                <w:b/>
                <w:bCs/>
                <w:color w:val="FFFFFF"/>
                <w:sz w:val="20"/>
                <w:szCs w:val="20"/>
              </w:rPr>
              <w:t>Parameter</w:t>
            </w:r>
          </w:p>
        </w:tc>
        <w:tc>
          <w:tcPr>
            <w:tcW w:w="3120" w:type="dxa"/>
            <w:shd w:val="clear" w:color="auto" w:fill="1F4E79"/>
          </w:tcPr>
          <w:p w14:paraId="4FCB0498">
            <w:pPr>
              <w:jc w:val="center"/>
            </w:pPr>
            <w:r>
              <w:rPr>
                <w:b/>
                <w:bCs/>
                <w:color w:val="FFFFFF"/>
                <w:sz w:val="20"/>
                <w:szCs w:val="20"/>
              </w:rPr>
              <w:t>Value</w:t>
            </w:r>
          </w:p>
        </w:tc>
        <w:tc>
          <w:tcPr>
            <w:tcW w:w="3120" w:type="dxa"/>
            <w:shd w:val="clear" w:color="auto" w:fill="1F4E79"/>
          </w:tcPr>
          <w:p w14:paraId="261CEC75">
            <w:pPr>
              <w:jc w:val="center"/>
            </w:pPr>
            <w:r>
              <w:rPr>
                <w:b/>
                <w:bCs/>
                <w:color w:val="FFFFFF"/>
                <w:sz w:val="20"/>
                <w:szCs w:val="20"/>
              </w:rPr>
              <w:t>Rationale</w:t>
            </w:r>
          </w:p>
        </w:tc>
      </w:tr>
      <w:tr w14:paraId="16657779">
        <w:tc>
          <w:tcPr>
            <w:tcW w:w="3120" w:type="dxa"/>
            <w:shd w:val="clear" w:color="auto" w:fill="FFFFFF"/>
          </w:tcPr>
          <w:p w14:paraId="248E50BE">
            <w:pPr>
              <w:jc w:val="center"/>
            </w:pPr>
            <w:r>
              <w:rPr>
                <w:sz w:val="20"/>
                <w:szCs w:val="20"/>
              </w:rPr>
              <w:t>objective</w:t>
            </w:r>
          </w:p>
        </w:tc>
        <w:tc>
          <w:tcPr>
            <w:tcW w:w="3120" w:type="dxa"/>
            <w:shd w:val="clear" w:color="auto" w:fill="FFFFFF"/>
          </w:tcPr>
          <w:p w14:paraId="29A7AB14">
            <w:pPr>
              <w:jc w:val="center"/>
            </w:pPr>
            <w:r>
              <w:rPr>
                <w:sz w:val="20"/>
                <w:szCs w:val="20"/>
              </w:rPr>
              <w:t>poisson</w:t>
            </w:r>
          </w:p>
        </w:tc>
        <w:tc>
          <w:tcPr>
            <w:tcW w:w="3120" w:type="dxa"/>
            <w:shd w:val="clear" w:color="auto" w:fill="FFFFFF"/>
          </w:tcPr>
          <w:p w14:paraId="340E9C0E">
            <w:pPr>
              <w:jc w:val="center"/>
            </w:pPr>
            <w:r>
              <w:rPr>
                <w:sz w:val="20"/>
                <w:szCs w:val="20"/>
              </w:rPr>
              <w:t>Poisson loss, correct for count data with an exposure offset</w:t>
            </w:r>
          </w:p>
        </w:tc>
      </w:tr>
      <w:tr w14:paraId="0735B279">
        <w:tc>
          <w:tcPr>
            <w:tcW w:w="3120" w:type="dxa"/>
            <w:shd w:val="clear" w:color="auto" w:fill="F2F2F2"/>
          </w:tcPr>
          <w:p w14:paraId="5E2C620C">
            <w:pPr>
              <w:jc w:val="center"/>
            </w:pPr>
            <w:r>
              <w:rPr>
                <w:sz w:val="20"/>
                <w:szCs w:val="20"/>
              </w:rPr>
              <w:t>num_leaves</w:t>
            </w:r>
          </w:p>
        </w:tc>
        <w:tc>
          <w:tcPr>
            <w:tcW w:w="3120" w:type="dxa"/>
            <w:shd w:val="clear" w:color="auto" w:fill="F2F2F2"/>
          </w:tcPr>
          <w:p w14:paraId="6BC58DD3">
            <w:pPr>
              <w:jc w:val="center"/>
            </w:pPr>
            <w:r>
              <w:rPr>
                <w:sz w:val="20"/>
                <w:szCs w:val="20"/>
              </w:rPr>
              <w:t>15</w:t>
            </w:r>
          </w:p>
        </w:tc>
        <w:tc>
          <w:tcPr>
            <w:tcW w:w="3120" w:type="dxa"/>
            <w:shd w:val="clear" w:color="auto" w:fill="F2F2F2"/>
          </w:tcPr>
          <w:p w14:paraId="2F819D83">
            <w:pPr>
              <w:jc w:val="center"/>
            </w:pPr>
            <w:r>
              <w:rPr>
                <w:sz w:val="20"/>
                <w:szCs w:val="20"/>
              </w:rPr>
              <w:t>Shallow trees reduce overfitting on noisy data</w:t>
            </w:r>
          </w:p>
        </w:tc>
      </w:tr>
      <w:tr w14:paraId="5D685A7A">
        <w:tc>
          <w:tcPr>
            <w:tcW w:w="3120" w:type="dxa"/>
            <w:shd w:val="clear" w:color="auto" w:fill="FFFFFF"/>
          </w:tcPr>
          <w:p w14:paraId="4EF8B3E5">
            <w:pPr>
              <w:jc w:val="center"/>
            </w:pPr>
            <w:r>
              <w:rPr>
                <w:sz w:val="20"/>
                <w:szCs w:val="20"/>
              </w:rPr>
              <w:t>min_data_in_leaf</w:t>
            </w:r>
          </w:p>
        </w:tc>
        <w:tc>
          <w:tcPr>
            <w:tcW w:w="3120" w:type="dxa"/>
            <w:shd w:val="clear" w:color="auto" w:fill="FFFFFF"/>
          </w:tcPr>
          <w:p w14:paraId="7F799BD0">
            <w:pPr>
              <w:jc w:val="center"/>
            </w:pPr>
            <w:r>
              <w:rPr>
                <w:sz w:val="20"/>
                <w:szCs w:val="20"/>
              </w:rPr>
              <w:t>500</w:t>
            </w:r>
          </w:p>
        </w:tc>
        <w:tc>
          <w:tcPr>
            <w:tcW w:w="3120" w:type="dxa"/>
            <w:shd w:val="clear" w:color="auto" w:fill="FFFFFF"/>
          </w:tcPr>
          <w:p w14:paraId="0FD99D7A">
            <w:pPr>
              <w:jc w:val="center"/>
            </w:pPr>
            <w:r>
              <w:rPr>
                <w:sz w:val="20"/>
                <w:szCs w:val="20"/>
              </w:rPr>
              <w:t>Each leaf must contain enough policies to be statistically stable</w:t>
            </w:r>
          </w:p>
        </w:tc>
      </w:tr>
      <w:tr w14:paraId="336328C0">
        <w:tc>
          <w:tcPr>
            <w:tcW w:w="3120" w:type="dxa"/>
            <w:shd w:val="clear" w:color="auto" w:fill="F2F2F2"/>
          </w:tcPr>
          <w:p w14:paraId="3AD24FB2">
            <w:pPr>
              <w:jc w:val="center"/>
            </w:pPr>
            <w:r>
              <w:rPr>
                <w:sz w:val="20"/>
                <w:szCs w:val="20"/>
              </w:rPr>
              <w:t>learning_rate</w:t>
            </w:r>
          </w:p>
        </w:tc>
        <w:tc>
          <w:tcPr>
            <w:tcW w:w="3120" w:type="dxa"/>
            <w:shd w:val="clear" w:color="auto" w:fill="F2F2F2"/>
          </w:tcPr>
          <w:p w14:paraId="5578245F">
            <w:pPr>
              <w:jc w:val="center"/>
            </w:pPr>
            <w:r>
              <w:rPr>
                <w:sz w:val="20"/>
                <w:szCs w:val="20"/>
              </w:rPr>
              <w:t>0.03</w:t>
            </w:r>
          </w:p>
        </w:tc>
        <w:tc>
          <w:tcPr>
            <w:tcW w:w="3120" w:type="dxa"/>
            <w:shd w:val="clear" w:color="auto" w:fill="F2F2F2"/>
          </w:tcPr>
          <w:p w14:paraId="1C638C11">
            <w:pPr>
              <w:jc w:val="center"/>
            </w:pPr>
            <w:r>
              <w:rPr>
                <w:sz w:val="20"/>
                <w:szCs w:val="20"/>
              </w:rPr>
              <w:t>Small learning rate with more rounds is more robust than fast learning</w:t>
            </w:r>
          </w:p>
        </w:tc>
      </w:tr>
      <w:tr w14:paraId="4F64EAD2">
        <w:tc>
          <w:tcPr>
            <w:tcW w:w="3120" w:type="dxa"/>
            <w:shd w:val="clear" w:color="auto" w:fill="FFFFFF"/>
          </w:tcPr>
          <w:p w14:paraId="2453C96D">
            <w:pPr>
              <w:jc w:val="center"/>
            </w:pPr>
            <w:r>
              <w:rPr>
                <w:sz w:val="20"/>
                <w:szCs w:val="20"/>
              </w:rPr>
              <w:t>lambda_l2</w:t>
            </w:r>
          </w:p>
        </w:tc>
        <w:tc>
          <w:tcPr>
            <w:tcW w:w="3120" w:type="dxa"/>
            <w:shd w:val="clear" w:color="auto" w:fill="FFFFFF"/>
          </w:tcPr>
          <w:p w14:paraId="3FF48C2C">
            <w:pPr>
              <w:jc w:val="center"/>
            </w:pPr>
            <w:r>
              <w:rPr>
                <w:sz w:val="20"/>
                <w:szCs w:val="20"/>
              </w:rPr>
              <w:t>1.0</w:t>
            </w:r>
          </w:p>
        </w:tc>
        <w:tc>
          <w:tcPr>
            <w:tcW w:w="3120" w:type="dxa"/>
            <w:shd w:val="clear" w:color="auto" w:fill="FFFFFF"/>
          </w:tcPr>
          <w:p w14:paraId="43FE080F">
            <w:pPr>
              <w:jc w:val="center"/>
            </w:pPr>
            <w:r>
              <w:rPr>
                <w:sz w:val="20"/>
                <w:szCs w:val="20"/>
              </w:rPr>
              <w:t>L2 regularization to penalize model complexity</w:t>
            </w:r>
          </w:p>
        </w:tc>
      </w:tr>
      <w:tr w14:paraId="78D979AF">
        <w:tc>
          <w:tcPr>
            <w:tcW w:w="3120" w:type="dxa"/>
            <w:shd w:val="clear" w:color="auto" w:fill="F2F2F2"/>
          </w:tcPr>
          <w:p w14:paraId="796D33AB">
            <w:pPr>
              <w:jc w:val="center"/>
            </w:pPr>
            <w:r>
              <w:rPr>
                <w:sz w:val="20"/>
                <w:szCs w:val="20"/>
              </w:rPr>
              <w:t>feature_fraction</w:t>
            </w:r>
          </w:p>
        </w:tc>
        <w:tc>
          <w:tcPr>
            <w:tcW w:w="3120" w:type="dxa"/>
            <w:shd w:val="clear" w:color="auto" w:fill="F2F2F2"/>
          </w:tcPr>
          <w:p w14:paraId="1DE20583">
            <w:pPr>
              <w:jc w:val="center"/>
            </w:pPr>
            <w:r>
              <w:rPr>
                <w:sz w:val="20"/>
                <w:szCs w:val="20"/>
              </w:rPr>
              <w:t>0.8</w:t>
            </w:r>
          </w:p>
        </w:tc>
        <w:tc>
          <w:tcPr>
            <w:tcW w:w="3120" w:type="dxa"/>
            <w:shd w:val="clear" w:color="auto" w:fill="F2F2F2"/>
          </w:tcPr>
          <w:p w14:paraId="3142C3EB">
            <w:pPr>
              <w:jc w:val="center"/>
            </w:pPr>
            <w:r>
              <w:rPr>
                <w:sz w:val="20"/>
                <w:szCs w:val="20"/>
              </w:rPr>
              <w:t>Subsample features per tree to add diversity</w:t>
            </w:r>
          </w:p>
        </w:tc>
      </w:tr>
      <w:tr w14:paraId="58721485">
        <w:tc>
          <w:tcPr>
            <w:tcW w:w="3120" w:type="dxa"/>
            <w:shd w:val="clear" w:color="auto" w:fill="FFFFFF"/>
          </w:tcPr>
          <w:p w14:paraId="56855107">
            <w:pPr>
              <w:jc w:val="center"/>
            </w:pPr>
            <w:r>
              <w:rPr>
                <w:sz w:val="20"/>
                <w:szCs w:val="20"/>
              </w:rPr>
              <w:t>bagging_fraction</w:t>
            </w:r>
          </w:p>
        </w:tc>
        <w:tc>
          <w:tcPr>
            <w:tcW w:w="3120" w:type="dxa"/>
            <w:shd w:val="clear" w:color="auto" w:fill="FFFFFF"/>
          </w:tcPr>
          <w:p w14:paraId="61EA3AE2">
            <w:pPr>
              <w:jc w:val="center"/>
            </w:pPr>
            <w:r>
              <w:rPr>
                <w:sz w:val="20"/>
                <w:szCs w:val="20"/>
              </w:rPr>
              <w:t>0.8</w:t>
            </w:r>
          </w:p>
        </w:tc>
        <w:tc>
          <w:tcPr>
            <w:tcW w:w="3120" w:type="dxa"/>
            <w:shd w:val="clear" w:color="auto" w:fill="FFFFFF"/>
          </w:tcPr>
          <w:p w14:paraId="74D2D037">
            <w:pPr>
              <w:jc w:val="center"/>
            </w:pPr>
            <w:r>
              <w:rPr>
                <w:sz w:val="20"/>
                <w:szCs w:val="20"/>
              </w:rPr>
              <w:t>Subsample rows per tree, standard regularization technique</w:t>
            </w:r>
          </w:p>
        </w:tc>
      </w:tr>
    </w:tbl>
    <w:p w14:paraId="49C7CE01">
      <w:pPr>
        <w:spacing w:before="80" w:after="80"/>
      </w:pPr>
    </w:p>
    <w:p w14:paraId="38349F1B">
      <w:pPr>
        <w:spacing w:before="80" w:after="80"/>
      </w:pPr>
      <w:r>
        <w:rPr>
          <w:sz w:val="22"/>
          <w:szCs w:val="22"/>
        </w:rPr>
        <w:t>Training ran for up to 2000 boosting rounds with early stopping on validation Poisson deviance with patience of 50 rounds. The model trained all the way to 1985 rounds without triggering early stopping. Validation deviance was still marginally improving but at a rate of approximately 0.0001 per 100 rounds by the end, indicating near-convergence.</w:t>
      </w:r>
    </w:p>
    <w:p w14:paraId="217BE5B6">
      <w:r>
        <w:br w:type="page"/>
      </w:r>
    </w:p>
    <w:p w14:paraId="314CB920">
      <w:pPr>
        <w:pStyle w:val="2"/>
        <w:pBdr>
          <w:bottom w:val="single" w:color="1F4E79" w:sz="6" w:space="0"/>
        </w:pBdr>
        <w:spacing w:before="400" w:after="200"/>
      </w:pPr>
      <w:r>
        <w:t>5. Evaluation</w:t>
      </w:r>
    </w:p>
    <w:p w14:paraId="2A5AA453">
      <w:pPr>
        <w:pStyle w:val="3"/>
        <w:spacing w:before="300" w:after="150"/>
      </w:pPr>
      <w:r>
        <w:t>5.1 Why Poisson Deviance, Not RMSE</w:t>
      </w:r>
    </w:p>
    <w:p w14:paraId="40034524">
      <w:pPr>
        <w:spacing w:before="80" w:after="80"/>
      </w:pPr>
      <w:r>
        <w:rPr>
          <w:sz w:val="22"/>
          <w:szCs w:val="22"/>
        </w:rPr>
        <w:t>Mean squared error is the wrong loss function for count data. Under a Poisson distribution, variance equals the mean. A prediction error of 0.1 when the true rate is 0.05 is proportionally far more severe than the same absolute error when the true rate is 5.0. RMSE treats both identically.</w:t>
      </w:r>
    </w:p>
    <w:p w14:paraId="229219A7">
      <w:pPr>
        <w:spacing w:before="80" w:after="80"/>
      </w:pPr>
    </w:p>
    <w:p w14:paraId="42F1BB19">
      <w:pPr>
        <w:spacing w:before="80" w:after="80"/>
      </w:pPr>
      <w:r>
        <w:rPr>
          <w:sz w:val="22"/>
          <w:szCs w:val="22"/>
        </w:rPr>
        <w:t>Poisson deviance correctly weights errors by the expected variance:</w:t>
      </w:r>
    </w:p>
    <w:p w14:paraId="7AD9525A">
      <w:pPr>
        <w:spacing w:before="80" w:after="80"/>
      </w:pPr>
    </w:p>
    <w:p w14:paraId="4C164F03">
      <w:pPr>
        <w:shd w:val="clear" w:fill="EEF2F7"/>
        <w:spacing w:before="60" w:after="60"/>
        <w:ind w:left="720"/>
      </w:pPr>
      <w:r>
        <w:rPr>
          <w:rFonts w:ascii="Courier New" w:hAnsi="Courier New" w:eastAsia="Courier New" w:cs="Courier New"/>
          <w:color w:val="2E4057"/>
          <w:sz w:val="18"/>
          <w:szCs w:val="18"/>
        </w:rPr>
        <w:t>D(y, y_hat) = 2 * sum( y * log(y / y_hat) - (y - y_hat) )</w:t>
      </w:r>
    </w:p>
    <w:p w14:paraId="7A53FFC6">
      <w:pPr>
        <w:spacing w:before="80" w:after="80"/>
      </w:pPr>
    </w:p>
    <w:p w14:paraId="308CDE45">
      <w:pPr>
        <w:spacing w:before="80" w:after="80"/>
      </w:pPr>
      <w:r>
        <w:rPr>
          <w:sz w:val="22"/>
          <w:szCs w:val="22"/>
        </w:rPr>
        <w:t>scikit-learn's mean_poisson_deviance implements this directly. Lower deviance is better. The improvement over the naive baseline measures how much signal the model has extracted from the available features.</w:t>
      </w:r>
    </w:p>
    <w:p w14:paraId="3F96D86E">
      <w:pPr>
        <w:spacing w:before="80" w:after="80"/>
      </w:pPr>
    </w:p>
    <w:p w14:paraId="366ECD6C">
      <w:pPr>
        <w:pStyle w:val="3"/>
        <w:spacing w:before="300" w:after="150"/>
      </w:pPr>
      <w:r>
        <w:t>5.2 Why Lorenz Curve and Gini Index</w:t>
      </w:r>
    </w:p>
    <w:p w14:paraId="6C347CBC">
      <w:pPr>
        <w:spacing w:before="80" w:after="80"/>
      </w:pPr>
      <w:r>
        <w:rPr>
          <w:sz w:val="22"/>
          <w:szCs w:val="22"/>
        </w:rPr>
        <w:t>Poisson deviance measures calibration: how close the predicted rates are to the actual rates on average. But an insurer also needs discrimination, the ability to rank policies by risk so that high-risk policies can be charged appropriately. A well-calibrated model with no discriminatory power is useless for pricing.</w:t>
      </w:r>
    </w:p>
    <w:p w14:paraId="27807B90">
      <w:pPr>
        <w:spacing w:before="80" w:after="80"/>
      </w:pPr>
    </w:p>
    <w:p w14:paraId="4CAD5762">
      <w:pPr>
        <w:spacing w:before="80" w:after="80"/>
      </w:pPr>
      <w:r>
        <w:rPr>
          <w:sz w:val="22"/>
          <w:szCs w:val="22"/>
        </w:rPr>
        <w:t>The Lorenz curve plots cumulative share of actual claims against cumulative share of exposure, after sorting policies by predicted risk in ascending order. A model with no discriminatory power produces a straight diagonal line. A model that perfectly separates high-risk from low-risk produces a curve that hugs the bottom-right corner.</w:t>
      </w:r>
    </w:p>
    <w:p w14:paraId="3CCA36BF">
      <w:pPr>
        <w:spacing w:before="80" w:after="80"/>
      </w:pPr>
    </w:p>
    <w:p w14:paraId="5C9DC438">
      <w:pPr>
        <w:spacing w:before="80" w:after="80"/>
      </w:pPr>
      <w:r>
        <w:rPr>
          <w:sz w:val="22"/>
          <w:szCs w:val="22"/>
        </w:rPr>
        <w:t>The Gini index summarizes the Lorenz curve as a single number: the area between the curve and the diagonal, normalized to the range [-1, 1]. A positive Gini means the model's risk ranking is better than random. A negative Gini means it is worse than random.</w:t>
      </w:r>
    </w:p>
    <w:p w14:paraId="3E66049C">
      <w:pPr>
        <w:spacing w:before="80" w:after="80"/>
      </w:pPr>
    </w:p>
    <w:p w14:paraId="2DF0B4EB">
      <w:pPr>
        <w:pStyle w:val="3"/>
        <w:spacing w:before="300" w:after="150"/>
      </w:pPr>
      <w:r>
        <w:t>5.3 Results</w:t>
      </w:r>
    </w:p>
    <w:p w14:paraId="3230E8AA">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2340"/>
        <w:gridCol w:w="2340"/>
        <w:gridCol w:w="2340"/>
      </w:tblGrid>
      <w:tr w14:paraId="1DE63AB6">
        <w:trPr>
          <w:tblHeader/>
        </w:trPr>
        <w:tc>
          <w:tcPr>
            <w:tcW w:w="2340" w:type="dxa"/>
            <w:shd w:val="clear" w:color="auto" w:fill="1F4E79"/>
          </w:tcPr>
          <w:p w14:paraId="6276F7F9">
            <w:pPr>
              <w:jc w:val="center"/>
            </w:pPr>
            <w:r>
              <w:rPr>
                <w:b/>
                <w:bCs/>
                <w:color w:val="FFFFFF"/>
                <w:sz w:val="20"/>
                <w:szCs w:val="20"/>
              </w:rPr>
              <w:t>Model</w:t>
            </w:r>
          </w:p>
        </w:tc>
        <w:tc>
          <w:tcPr>
            <w:tcW w:w="2340" w:type="dxa"/>
            <w:shd w:val="clear" w:color="auto" w:fill="1F4E79"/>
          </w:tcPr>
          <w:p w14:paraId="4C72C451">
            <w:pPr>
              <w:jc w:val="center"/>
            </w:pPr>
            <w:r>
              <w:rPr>
                <w:b/>
                <w:bCs/>
                <w:color w:val="FFFFFF"/>
                <w:sz w:val="20"/>
                <w:szCs w:val="20"/>
              </w:rPr>
              <w:t>Test Deviance</w:t>
            </w:r>
          </w:p>
        </w:tc>
        <w:tc>
          <w:tcPr>
            <w:tcW w:w="2340" w:type="dxa"/>
            <w:shd w:val="clear" w:color="auto" w:fill="1F4E79"/>
          </w:tcPr>
          <w:p w14:paraId="19524E0F">
            <w:pPr>
              <w:jc w:val="center"/>
            </w:pPr>
            <w:r>
              <w:rPr>
                <w:b/>
                <w:bCs/>
                <w:color w:val="FFFFFF"/>
                <w:sz w:val="20"/>
                <w:szCs w:val="20"/>
              </w:rPr>
              <w:t>vs Naive Baseline</w:t>
            </w:r>
          </w:p>
        </w:tc>
        <w:tc>
          <w:tcPr>
            <w:tcW w:w="2340" w:type="dxa"/>
            <w:shd w:val="clear" w:color="auto" w:fill="1F4E79"/>
          </w:tcPr>
          <w:p w14:paraId="1760E175">
            <w:pPr>
              <w:jc w:val="center"/>
            </w:pPr>
            <w:r>
              <w:rPr>
                <w:b/>
                <w:bCs/>
                <w:color w:val="FFFFFF"/>
                <w:sz w:val="20"/>
                <w:szCs w:val="20"/>
              </w:rPr>
              <w:t>Gini Index</w:t>
            </w:r>
          </w:p>
        </w:tc>
      </w:tr>
      <w:tr w14:paraId="4708648D">
        <w:tc>
          <w:tcPr>
            <w:tcW w:w="2340" w:type="dxa"/>
            <w:shd w:val="clear" w:color="auto" w:fill="FFFFFF"/>
          </w:tcPr>
          <w:p w14:paraId="1738886D">
            <w:pPr>
              <w:jc w:val="center"/>
            </w:pPr>
            <w:r>
              <w:rPr>
                <w:sz w:val="20"/>
                <w:szCs w:val="20"/>
              </w:rPr>
              <w:t>Naive baseline</w:t>
            </w:r>
          </w:p>
        </w:tc>
        <w:tc>
          <w:tcPr>
            <w:tcW w:w="2340" w:type="dxa"/>
            <w:shd w:val="clear" w:color="auto" w:fill="FFFFFF"/>
          </w:tcPr>
          <w:p w14:paraId="40651917">
            <w:pPr>
              <w:jc w:val="center"/>
            </w:pPr>
            <w:r>
              <w:rPr>
                <w:sz w:val="20"/>
                <w:szCs w:val="20"/>
              </w:rPr>
              <w:t>0.3294</w:t>
            </w:r>
          </w:p>
        </w:tc>
        <w:tc>
          <w:tcPr>
            <w:tcW w:w="2340" w:type="dxa"/>
            <w:shd w:val="clear" w:color="auto" w:fill="FFFFFF"/>
          </w:tcPr>
          <w:p w14:paraId="7DAA6862">
            <w:pPr>
              <w:jc w:val="center"/>
            </w:pPr>
            <w:r>
              <w:rPr>
                <w:sz w:val="20"/>
                <w:szCs w:val="20"/>
              </w:rPr>
              <w:t>0.0%</w:t>
            </w:r>
          </w:p>
        </w:tc>
        <w:tc>
          <w:tcPr>
            <w:tcW w:w="2340" w:type="dxa"/>
            <w:shd w:val="clear" w:color="auto" w:fill="FFFFFF"/>
          </w:tcPr>
          <w:p w14:paraId="174CDF10">
            <w:pPr>
              <w:jc w:val="center"/>
            </w:pPr>
            <w:r>
              <w:rPr>
                <w:sz w:val="20"/>
                <w:szCs w:val="20"/>
              </w:rPr>
              <w:t>0.000</w:t>
            </w:r>
          </w:p>
        </w:tc>
      </w:tr>
      <w:tr w14:paraId="5DE297D3">
        <w:tc>
          <w:tcPr>
            <w:tcW w:w="2340" w:type="dxa"/>
            <w:shd w:val="clear" w:color="auto" w:fill="F2F2F2"/>
          </w:tcPr>
          <w:p w14:paraId="29E25BD5">
            <w:pPr>
              <w:jc w:val="center"/>
            </w:pPr>
            <w:r>
              <w:rPr>
                <w:sz w:val="20"/>
                <w:szCs w:val="20"/>
              </w:rPr>
              <w:t>Poisson GLM</w:t>
            </w:r>
          </w:p>
        </w:tc>
        <w:tc>
          <w:tcPr>
            <w:tcW w:w="2340" w:type="dxa"/>
            <w:shd w:val="clear" w:color="auto" w:fill="F2F2F2"/>
          </w:tcPr>
          <w:p w14:paraId="2978C9E9">
            <w:pPr>
              <w:jc w:val="center"/>
            </w:pPr>
            <w:r>
              <w:rPr>
                <w:sz w:val="20"/>
                <w:szCs w:val="20"/>
              </w:rPr>
              <w:t>0.3191</w:t>
            </w:r>
          </w:p>
        </w:tc>
        <w:tc>
          <w:tcPr>
            <w:tcW w:w="2340" w:type="dxa"/>
            <w:shd w:val="clear" w:color="auto" w:fill="F2F2F2"/>
          </w:tcPr>
          <w:p w14:paraId="16068412">
            <w:pPr>
              <w:jc w:val="center"/>
            </w:pPr>
            <w:r>
              <w:rPr>
                <w:sz w:val="20"/>
                <w:szCs w:val="20"/>
              </w:rPr>
              <w:t>-3.1%</w:t>
            </w:r>
          </w:p>
        </w:tc>
        <w:tc>
          <w:tcPr>
            <w:tcW w:w="2340" w:type="dxa"/>
            <w:shd w:val="clear" w:color="auto" w:fill="F2F2F2"/>
          </w:tcPr>
          <w:p w14:paraId="6B59A8F7">
            <w:pPr>
              <w:jc w:val="center"/>
            </w:pPr>
            <w:r>
              <w:rPr>
                <w:sz w:val="20"/>
                <w:szCs w:val="20"/>
              </w:rPr>
              <w:t>-0.047</w:t>
            </w:r>
          </w:p>
        </w:tc>
      </w:tr>
      <w:tr w14:paraId="0DC3E52C">
        <w:tc>
          <w:tcPr>
            <w:tcW w:w="2340" w:type="dxa"/>
            <w:shd w:val="clear" w:color="auto" w:fill="FFFFFF"/>
          </w:tcPr>
          <w:p w14:paraId="4593B063">
            <w:pPr>
              <w:jc w:val="center"/>
            </w:pPr>
            <w:r>
              <w:rPr>
                <w:sz w:val="20"/>
                <w:szCs w:val="20"/>
              </w:rPr>
              <w:t>LightGBM</w:t>
            </w:r>
          </w:p>
        </w:tc>
        <w:tc>
          <w:tcPr>
            <w:tcW w:w="2340" w:type="dxa"/>
            <w:shd w:val="clear" w:color="auto" w:fill="FFFFFF"/>
          </w:tcPr>
          <w:p w14:paraId="228DD0EC">
            <w:pPr>
              <w:jc w:val="center"/>
            </w:pPr>
            <w:r>
              <w:rPr>
                <w:sz w:val="20"/>
                <w:szCs w:val="20"/>
              </w:rPr>
              <w:t>0.3016</w:t>
            </w:r>
          </w:p>
        </w:tc>
        <w:tc>
          <w:tcPr>
            <w:tcW w:w="2340" w:type="dxa"/>
            <w:shd w:val="clear" w:color="auto" w:fill="FFFFFF"/>
          </w:tcPr>
          <w:p w14:paraId="3B664EED">
            <w:pPr>
              <w:jc w:val="center"/>
            </w:pPr>
            <w:r>
              <w:rPr>
                <w:sz w:val="20"/>
                <w:szCs w:val="20"/>
              </w:rPr>
              <w:t>-8.4%</w:t>
            </w:r>
          </w:p>
        </w:tc>
        <w:tc>
          <w:tcPr>
            <w:tcW w:w="2340" w:type="dxa"/>
            <w:shd w:val="clear" w:color="auto" w:fill="FFFFFF"/>
          </w:tcPr>
          <w:p w14:paraId="434339DB">
            <w:pPr>
              <w:jc w:val="center"/>
            </w:pPr>
            <w:r>
              <w:rPr>
                <w:sz w:val="20"/>
                <w:szCs w:val="20"/>
              </w:rPr>
              <w:t>0.101</w:t>
            </w:r>
          </w:p>
        </w:tc>
      </w:tr>
    </w:tbl>
    <w:p w14:paraId="72E85F91">
      <w:pPr>
        <w:spacing w:before="80" w:after="80"/>
      </w:pPr>
    </w:p>
    <w:p w14:paraId="154E6F81">
      <w:pPr>
        <w:pStyle w:val="4"/>
        <w:spacing w:before="200" w:after="100"/>
      </w:pPr>
      <w:r>
        <w:t>GLM Lorenz curve: the S-shape problem</w:t>
      </w:r>
    </w:p>
    <w:p w14:paraId="0B954D5B">
      <w:pPr>
        <w:spacing w:before="80" w:after="80"/>
      </w:pPr>
      <w:r>
        <w:rPr>
          <w:sz w:val="22"/>
          <w:szCs w:val="22"/>
        </w:rPr>
        <w:t>The GLM's Lorenz curve crosses the diagonal. It lies above it in the lower-risk range and below it in the higher-risk range. This S-shape is why the overall Gini is negative despite the model having statistically significant coefficients and a meaningful deviance improvement. In practical terms: the GLM's risk ranking is backwards for the lowest-risk 30% of the portfolio. If this model were used to set pricing tiers, the cheapest tier would actually contain a disproportionate share of claims.</w:t>
      </w:r>
    </w:p>
    <w:p w14:paraId="30664974">
      <w:pPr>
        <w:spacing w:before="80" w:after="80"/>
      </w:pPr>
    </w:p>
    <w:p w14:paraId="0B62114F">
      <w:pPr>
        <w:pStyle w:val="4"/>
        <w:spacing w:before="200" w:after="100"/>
      </w:pPr>
      <w:r>
        <w:t>LightGBM Lorenz curve: genuine improvement</w:t>
      </w:r>
    </w:p>
    <w:p w14:paraId="671E406E">
      <w:pPr>
        <w:spacing w:before="80" w:after="80"/>
      </w:pPr>
      <w:r>
        <w:rPr>
          <w:sz w:val="22"/>
          <w:szCs w:val="22"/>
        </w:rPr>
        <w:t>LightGBM's Lorenz curve is consistently below the diagonal throughout its range without crossing. The curve still has a slight S-shape, reflecting the data's low signal-to-noise ratio, but it is monotonically better than the GLM across all risk deciles.</w:t>
      </w:r>
    </w:p>
    <w:p w14:paraId="701A20F2">
      <w:r>
        <w:br w:type="page"/>
      </w:r>
    </w:p>
    <w:p w14:paraId="50C6EE35">
      <w:pPr>
        <w:pStyle w:val="2"/>
        <w:pBdr>
          <w:bottom w:val="single" w:color="1F4E79" w:sz="6" w:space="0"/>
        </w:pBdr>
        <w:spacing w:before="400" w:after="200"/>
      </w:pPr>
      <w:r>
        <w:t>6. Feature Importance Comparison</w:t>
      </w:r>
    </w:p>
    <w:p w14:paraId="62EA6C71">
      <w:pPr>
        <w:spacing w:before="80" w:after="80"/>
      </w:pPr>
      <w:r>
        <w:rPr>
          <w:sz w:val="22"/>
          <w:szCs w:val="22"/>
        </w:rPr>
        <w:t>Comparing GLM coefficients against LightGBM gain importance reveals the specific mechanism behind the performance difference:</w:t>
      </w:r>
    </w:p>
    <w:p w14:paraId="1293203A">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2340"/>
        <w:gridCol w:w="2340"/>
        <w:gridCol w:w="2340"/>
      </w:tblGrid>
      <w:tr w14:paraId="7D176F1E">
        <w:trPr>
          <w:tblHeader/>
        </w:trPr>
        <w:tc>
          <w:tcPr>
            <w:tcW w:w="2340" w:type="dxa"/>
            <w:shd w:val="clear" w:color="auto" w:fill="1F4E79"/>
          </w:tcPr>
          <w:p w14:paraId="6FBE827A">
            <w:pPr>
              <w:jc w:val="center"/>
            </w:pPr>
            <w:r>
              <w:rPr>
                <w:b/>
                <w:bCs/>
                <w:color w:val="FFFFFF"/>
                <w:sz w:val="20"/>
                <w:szCs w:val="20"/>
              </w:rPr>
              <w:t>Feature</w:t>
            </w:r>
          </w:p>
        </w:tc>
        <w:tc>
          <w:tcPr>
            <w:tcW w:w="2340" w:type="dxa"/>
            <w:shd w:val="clear" w:color="auto" w:fill="1F4E79"/>
          </w:tcPr>
          <w:p w14:paraId="0D4BA59E">
            <w:pPr>
              <w:jc w:val="center"/>
            </w:pPr>
            <w:r>
              <w:rPr>
                <w:b/>
                <w:bCs/>
                <w:color w:val="FFFFFF"/>
                <w:sz w:val="20"/>
                <w:szCs w:val="20"/>
              </w:rPr>
              <w:t>GLM Top 10 rank</w:t>
            </w:r>
          </w:p>
        </w:tc>
        <w:tc>
          <w:tcPr>
            <w:tcW w:w="2340" w:type="dxa"/>
            <w:shd w:val="clear" w:color="auto" w:fill="1F4E79"/>
          </w:tcPr>
          <w:p w14:paraId="087A208D">
            <w:pPr>
              <w:jc w:val="center"/>
            </w:pPr>
            <w:r>
              <w:rPr>
                <w:b/>
                <w:bCs/>
                <w:color w:val="FFFFFF"/>
                <w:sz w:val="20"/>
                <w:szCs w:val="20"/>
              </w:rPr>
              <w:t>LightGBM Top 10 rank</w:t>
            </w:r>
          </w:p>
        </w:tc>
        <w:tc>
          <w:tcPr>
            <w:tcW w:w="2340" w:type="dxa"/>
            <w:shd w:val="clear" w:color="auto" w:fill="1F4E79"/>
          </w:tcPr>
          <w:p w14:paraId="24282500">
            <w:pPr>
              <w:jc w:val="center"/>
            </w:pPr>
            <w:r>
              <w:rPr>
                <w:b/>
                <w:bCs/>
                <w:color w:val="FFFFFF"/>
                <w:sz w:val="20"/>
                <w:szCs w:val="20"/>
              </w:rPr>
              <w:t>Notes</w:t>
            </w:r>
          </w:p>
        </w:tc>
      </w:tr>
      <w:tr w14:paraId="45DD5828">
        <w:tc>
          <w:tcPr>
            <w:tcW w:w="2340" w:type="dxa"/>
            <w:shd w:val="clear" w:color="auto" w:fill="FFFFFF"/>
          </w:tcPr>
          <w:p w14:paraId="43F8F883">
            <w:pPr>
              <w:jc w:val="center"/>
            </w:pPr>
            <w:r>
              <w:rPr>
                <w:sz w:val="20"/>
                <w:szCs w:val="20"/>
              </w:rPr>
              <w:t>BonusMalus</w:t>
            </w:r>
          </w:p>
        </w:tc>
        <w:tc>
          <w:tcPr>
            <w:tcW w:w="2340" w:type="dxa"/>
            <w:shd w:val="clear" w:color="auto" w:fill="FFFFFF"/>
          </w:tcPr>
          <w:p w14:paraId="2A9ED90F">
            <w:pPr>
              <w:jc w:val="center"/>
            </w:pPr>
            <w:r>
              <w:rPr>
                <w:sz w:val="20"/>
                <w:szCs w:val="20"/>
              </w:rPr>
              <w:t>1</w:t>
            </w:r>
          </w:p>
        </w:tc>
        <w:tc>
          <w:tcPr>
            <w:tcW w:w="2340" w:type="dxa"/>
            <w:shd w:val="clear" w:color="auto" w:fill="FFFFFF"/>
          </w:tcPr>
          <w:p w14:paraId="2ABE26C3">
            <w:pPr>
              <w:jc w:val="center"/>
            </w:pPr>
            <w:r>
              <w:rPr>
                <w:sz w:val="20"/>
                <w:szCs w:val="20"/>
              </w:rPr>
              <w:t>1</w:t>
            </w:r>
          </w:p>
        </w:tc>
        <w:tc>
          <w:tcPr>
            <w:tcW w:w="2340" w:type="dxa"/>
            <w:shd w:val="clear" w:color="auto" w:fill="FFFFFF"/>
          </w:tcPr>
          <w:p w14:paraId="6F44E5FB">
            <w:pPr>
              <w:jc w:val="center"/>
            </w:pPr>
            <w:r>
              <w:rPr>
                <w:sz w:val="20"/>
                <w:szCs w:val="20"/>
              </w:rPr>
              <w:t>Dominant in both, consistent with EDA</w:t>
            </w:r>
          </w:p>
        </w:tc>
      </w:tr>
      <w:tr w14:paraId="1C54EE3C">
        <w:tc>
          <w:tcPr>
            <w:tcW w:w="2340" w:type="dxa"/>
            <w:shd w:val="clear" w:color="auto" w:fill="F2F2F2"/>
          </w:tcPr>
          <w:p w14:paraId="434DC0C2">
            <w:pPr>
              <w:jc w:val="center"/>
            </w:pPr>
            <w:r>
              <w:rPr>
                <w:sz w:val="20"/>
                <w:szCs w:val="20"/>
              </w:rPr>
              <w:t>VehAge</w:t>
            </w:r>
          </w:p>
        </w:tc>
        <w:tc>
          <w:tcPr>
            <w:tcW w:w="2340" w:type="dxa"/>
            <w:shd w:val="clear" w:color="auto" w:fill="F2F2F2"/>
          </w:tcPr>
          <w:p w14:paraId="01898AA4">
            <w:pPr>
              <w:jc w:val="center"/>
            </w:pPr>
            <w:r>
              <w:rPr>
                <w:sz w:val="20"/>
                <w:szCs w:val="20"/>
              </w:rPr>
              <w:t>Not in top 10</w:t>
            </w:r>
          </w:p>
        </w:tc>
        <w:tc>
          <w:tcPr>
            <w:tcW w:w="2340" w:type="dxa"/>
            <w:shd w:val="clear" w:color="auto" w:fill="F2F2F2"/>
          </w:tcPr>
          <w:p w14:paraId="09A821C2">
            <w:pPr>
              <w:jc w:val="center"/>
            </w:pPr>
            <w:r>
              <w:rPr>
                <w:sz w:val="20"/>
                <w:szCs w:val="20"/>
              </w:rPr>
              <w:t>2</w:t>
            </w:r>
          </w:p>
        </w:tc>
        <w:tc>
          <w:tcPr>
            <w:tcW w:w="2340" w:type="dxa"/>
            <w:shd w:val="clear" w:color="auto" w:fill="F2F2F2"/>
          </w:tcPr>
          <w:p w14:paraId="412EDEF6">
            <w:pPr>
              <w:jc w:val="center"/>
            </w:pPr>
            <w:r>
              <w:rPr>
                <w:sz w:val="20"/>
                <w:szCs w:val="20"/>
              </w:rPr>
              <w:t>Key differentiator, LightGBM captures non-linearity</w:t>
            </w:r>
          </w:p>
        </w:tc>
      </w:tr>
      <w:tr w14:paraId="105BD167">
        <w:tc>
          <w:tcPr>
            <w:tcW w:w="2340" w:type="dxa"/>
            <w:shd w:val="clear" w:color="auto" w:fill="FFFFFF"/>
          </w:tcPr>
          <w:p w14:paraId="2B89F833">
            <w:pPr>
              <w:jc w:val="center"/>
            </w:pPr>
            <w:r>
              <w:rPr>
                <w:sz w:val="20"/>
                <w:szCs w:val="20"/>
              </w:rPr>
              <w:t>Region (various)</w:t>
            </w:r>
          </w:p>
        </w:tc>
        <w:tc>
          <w:tcPr>
            <w:tcW w:w="2340" w:type="dxa"/>
            <w:shd w:val="clear" w:color="auto" w:fill="FFFFFF"/>
          </w:tcPr>
          <w:p w14:paraId="32B5D6B6">
            <w:pPr>
              <w:jc w:val="center"/>
            </w:pPr>
            <w:r>
              <w:rPr>
                <w:sz w:val="20"/>
                <w:szCs w:val="20"/>
              </w:rPr>
              <w:t>Ranks 1-4 as dummy variables</w:t>
            </w:r>
          </w:p>
        </w:tc>
        <w:tc>
          <w:tcPr>
            <w:tcW w:w="2340" w:type="dxa"/>
            <w:shd w:val="clear" w:color="auto" w:fill="FFFFFF"/>
          </w:tcPr>
          <w:p w14:paraId="0B0D3911">
            <w:pPr>
              <w:jc w:val="center"/>
            </w:pPr>
            <w:r>
              <w:rPr>
                <w:sz w:val="20"/>
                <w:szCs w:val="20"/>
              </w:rPr>
              <w:t>5</w:t>
            </w:r>
          </w:p>
        </w:tc>
        <w:tc>
          <w:tcPr>
            <w:tcW w:w="2340" w:type="dxa"/>
            <w:shd w:val="clear" w:color="auto" w:fill="FFFFFF"/>
          </w:tcPr>
          <w:p w14:paraId="524FF329">
            <w:pPr>
              <w:jc w:val="center"/>
            </w:pPr>
            <w:r>
              <w:rPr>
                <w:sz w:val="20"/>
                <w:szCs w:val="20"/>
              </w:rPr>
              <w:t>GLM relies heavily on region to capture geographic variation</w:t>
            </w:r>
          </w:p>
        </w:tc>
      </w:tr>
      <w:tr w14:paraId="167C3E56">
        <w:tc>
          <w:tcPr>
            <w:tcW w:w="2340" w:type="dxa"/>
            <w:shd w:val="clear" w:color="auto" w:fill="F2F2F2"/>
          </w:tcPr>
          <w:p w14:paraId="4C7971D2">
            <w:pPr>
              <w:jc w:val="center"/>
            </w:pPr>
            <w:r>
              <w:rPr>
                <w:sz w:val="20"/>
                <w:szCs w:val="20"/>
              </w:rPr>
              <w:t>DrivAge</w:t>
            </w:r>
          </w:p>
        </w:tc>
        <w:tc>
          <w:tcPr>
            <w:tcW w:w="2340" w:type="dxa"/>
            <w:shd w:val="clear" w:color="auto" w:fill="F2F2F2"/>
          </w:tcPr>
          <w:p w14:paraId="79802BEE">
            <w:pPr>
              <w:jc w:val="center"/>
            </w:pPr>
            <w:r>
              <w:rPr>
                <w:sz w:val="20"/>
                <w:szCs w:val="20"/>
              </w:rPr>
              <w:t>Not in top 10</w:t>
            </w:r>
          </w:p>
        </w:tc>
        <w:tc>
          <w:tcPr>
            <w:tcW w:w="2340" w:type="dxa"/>
            <w:shd w:val="clear" w:color="auto" w:fill="F2F2F2"/>
          </w:tcPr>
          <w:p w14:paraId="537BDFF5">
            <w:pPr>
              <w:jc w:val="center"/>
            </w:pPr>
            <w:r>
              <w:rPr>
                <w:sz w:val="20"/>
                <w:szCs w:val="20"/>
              </w:rPr>
              <w:t>4</w:t>
            </w:r>
          </w:p>
        </w:tc>
        <w:tc>
          <w:tcPr>
            <w:tcW w:w="2340" w:type="dxa"/>
            <w:shd w:val="clear" w:color="auto" w:fill="F2F2F2"/>
          </w:tcPr>
          <w:p w14:paraId="212BCAD1">
            <w:pPr>
              <w:jc w:val="center"/>
            </w:pPr>
            <w:r>
              <w:rPr>
                <w:sz w:val="20"/>
                <w:szCs w:val="20"/>
              </w:rPr>
              <w:t>U-shape partially captured via tree splits</w:t>
            </w:r>
          </w:p>
        </w:tc>
      </w:tr>
      <w:tr w14:paraId="6B08F641">
        <w:tc>
          <w:tcPr>
            <w:tcW w:w="2340" w:type="dxa"/>
            <w:shd w:val="clear" w:color="auto" w:fill="FFFFFF"/>
          </w:tcPr>
          <w:p w14:paraId="0C88C45B">
            <w:pPr>
              <w:jc w:val="center"/>
            </w:pPr>
            <w:r>
              <w:rPr>
                <w:sz w:val="20"/>
                <w:szCs w:val="20"/>
              </w:rPr>
              <w:t>VehBrand_B12</w:t>
            </w:r>
          </w:p>
        </w:tc>
        <w:tc>
          <w:tcPr>
            <w:tcW w:w="2340" w:type="dxa"/>
            <w:shd w:val="clear" w:color="auto" w:fill="FFFFFF"/>
          </w:tcPr>
          <w:p w14:paraId="3EC8C195">
            <w:pPr>
              <w:jc w:val="center"/>
            </w:pPr>
            <w:r>
              <w:rPr>
                <w:sz w:val="20"/>
                <w:szCs w:val="20"/>
              </w:rPr>
              <w:t>5</w:t>
            </w:r>
          </w:p>
        </w:tc>
        <w:tc>
          <w:tcPr>
            <w:tcW w:w="2340" w:type="dxa"/>
            <w:shd w:val="clear" w:color="auto" w:fill="FFFFFF"/>
          </w:tcPr>
          <w:p w14:paraId="54368DCA">
            <w:pPr>
              <w:jc w:val="center"/>
            </w:pPr>
            <w:r>
              <w:rPr>
                <w:sz w:val="20"/>
                <w:szCs w:val="20"/>
              </w:rPr>
              <w:t>3 (VehBrand aggregate)</w:t>
            </w:r>
          </w:p>
        </w:tc>
        <w:tc>
          <w:tcPr>
            <w:tcW w:w="2340" w:type="dxa"/>
            <w:shd w:val="clear" w:color="auto" w:fill="FFFFFF"/>
          </w:tcPr>
          <w:p w14:paraId="2E4E1875">
            <w:pPr>
              <w:jc w:val="center"/>
            </w:pPr>
            <w:r>
              <w:rPr>
                <w:sz w:val="20"/>
                <w:szCs w:val="20"/>
              </w:rPr>
              <w:t>Consistent across both models</w:t>
            </w:r>
          </w:p>
        </w:tc>
      </w:tr>
      <w:tr w14:paraId="5C6B0862">
        <w:tc>
          <w:tcPr>
            <w:tcW w:w="2340" w:type="dxa"/>
            <w:shd w:val="clear" w:color="auto" w:fill="F2F2F2"/>
          </w:tcPr>
          <w:p w14:paraId="5428BA8E">
            <w:pPr>
              <w:jc w:val="center"/>
            </w:pPr>
            <w:r>
              <w:rPr>
                <w:sz w:val="20"/>
                <w:szCs w:val="20"/>
              </w:rPr>
              <w:t>Area_ord</w:t>
            </w:r>
          </w:p>
        </w:tc>
        <w:tc>
          <w:tcPr>
            <w:tcW w:w="2340" w:type="dxa"/>
            <w:shd w:val="clear" w:color="auto" w:fill="F2F2F2"/>
          </w:tcPr>
          <w:p w14:paraId="7F6146E8">
            <w:pPr>
              <w:jc w:val="center"/>
            </w:pPr>
            <w:r>
              <w:rPr>
                <w:sz w:val="20"/>
                <w:szCs w:val="20"/>
              </w:rPr>
              <w:t>Not in top 10</w:t>
            </w:r>
          </w:p>
        </w:tc>
        <w:tc>
          <w:tcPr>
            <w:tcW w:w="2340" w:type="dxa"/>
            <w:shd w:val="clear" w:color="auto" w:fill="F2F2F2"/>
          </w:tcPr>
          <w:p w14:paraId="74D93E9F">
            <w:pPr>
              <w:jc w:val="center"/>
            </w:pPr>
            <w:r>
              <w:rPr>
                <w:sz w:val="20"/>
                <w:szCs w:val="20"/>
              </w:rPr>
              <w:t>9 (near zero)</w:t>
            </w:r>
          </w:p>
        </w:tc>
        <w:tc>
          <w:tcPr>
            <w:tcW w:w="2340" w:type="dxa"/>
            <w:shd w:val="clear" w:color="auto" w:fill="F2F2F2"/>
          </w:tcPr>
          <w:p w14:paraId="341B5003">
            <w:pPr>
              <w:jc w:val="center"/>
            </w:pPr>
            <w:r>
              <w:rPr>
                <w:sz w:val="20"/>
                <w:szCs w:val="20"/>
              </w:rPr>
              <w:t>Geographic signal absorbed by Region and Density</w:t>
            </w:r>
          </w:p>
        </w:tc>
      </w:tr>
    </w:tbl>
    <w:p w14:paraId="0E87092B">
      <w:pPr>
        <w:spacing w:before="80" w:after="80"/>
      </w:pPr>
    </w:p>
    <w:p w14:paraId="33245131">
      <w:pPr>
        <w:spacing w:before="80" w:after="80"/>
      </w:pPr>
      <w:r>
        <w:rPr>
          <w:sz w:val="22"/>
          <w:szCs w:val="22"/>
        </w:rPr>
        <w:t>The GLM's top features by absolute coefficient are dominated by Region dummy variables. When a linear model cannot capture non-linear effects in continuous features, it compensates by leaning harder on categorical features that can capture local variation. LightGBM, able to split on VehAge and DrivAge non-linearly, distributes importance more evenly across the feature set.</w:t>
      </w:r>
    </w:p>
    <w:p w14:paraId="18ABAA4D">
      <w:pPr>
        <w:spacing w:before="80" w:after="80"/>
      </w:pPr>
    </w:p>
    <w:p w14:paraId="49ECAAB9">
      <w:pPr>
        <w:spacing w:before="80" w:after="80"/>
      </w:pPr>
      <w:r>
        <w:rPr>
          <w:sz w:val="22"/>
          <w:szCs w:val="22"/>
        </w:rPr>
        <w:t>VehAge's absence from the GLM top 10 despite being the second most important feature in LightGBM is the clearest evidence of where the linear specification fails. The GLM's single coefficient for VehAge (-0.041) tries to summarize a relationship that requires multiple decision tree splits to express accurately.</w:t>
      </w:r>
    </w:p>
    <w:p w14:paraId="282566E5">
      <w:r>
        <w:br w:type="page"/>
      </w:r>
    </w:p>
    <w:p w14:paraId="75ED932D">
      <w:pPr>
        <w:pStyle w:val="2"/>
        <w:pBdr>
          <w:bottom w:val="single" w:color="1F4E79" w:sz="6" w:space="0"/>
        </w:pBdr>
        <w:spacing w:before="400" w:after="200"/>
      </w:pPr>
      <w:r>
        <w:t>7. Business Implications</w:t>
      </w:r>
    </w:p>
    <w:p w14:paraId="0752E60F">
      <w:pPr>
        <w:pStyle w:val="3"/>
        <w:spacing w:before="300" w:after="150"/>
      </w:pPr>
      <w:r>
        <w:t>7.1 What the Results Mean for Pricing</w:t>
      </w:r>
    </w:p>
    <w:p w14:paraId="7EA04347">
      <w:pPr>
        <w:spacing w:before="80" w:after="80"/>
      </w:pPr>
      <w:r>
        <w:rPr>
          <w:sz w:val="22"/>
          <w:szCs w:val="22"/>
        </w:rPr>
        <w:t>Insurance pricing operates on two separate dimensions that correspond directly to this project's two evaluation metrics:</w:t>
      </w:r>
    </w:p>
    <w:p w14:paraId="145319CD">
      <w:pPr>
        <w:pStyle w:val="16"/>
        <w:numPr>
          <w:ilvl w:val="0"/>
          <w:numId w:val="1"/>
        </w:numPr>
        <w:spacing w:before="60" w:after="60"/>
        <w:ind w:left="360" w:hanging="360"/>
      </w:pPr>
      <w:r>
        <w:rPr>
          <w:sz w:val="22"/>
          <w:szCs w:val="22"/>
        </w:rPr>
        <w:t>Calibration (deviance): are the predicted rates correct on average? A poorly calibrated model generates systematic pricing errors, either underpricing high-risk segments or overpricing low-risk ones. Both models improve calibration over the naive baseline, with LightGBM doing so more substantially.</w:t>
      </w:r>
    </w:p>
    <w:p w14:paraId="4811B8EA">
      <w:pPr>
        <w:pStyle w:val="16"/>
        <w:numPr>
          <w:ilvl w:val="0"/>
          <w:numId w:val="1"/>
        </w:numPr>
        <w:spacing w:before="60" w:after="60"/>
        <w:ind w:left="360" w:hanging="360"/>
      </w:pPr>
      <w:r>
        <w:rPr>
          <w:sz w:val="22"/>
          <w:szCs w:val="22"/>
        </w:rPr>
        <w:t>Discrimination (Gini): can the model correctly rank policies by risk? This determines how well the model can differentiate pricing between risk segments. The GLM's negative Gini is a serious practical problem: it would produce a pricing structure where some high-risk policies are offered lower premiums than low-risk ones.</w:t>
      </w:r>
    </w:p>
    <w:p w14:paraId="1936816A">
      <w:pPr>
        <w:spacing w:before="80" w:after="80"/>
      </w:pPr>
    </w:p>
    <w:p w14:paraId="62E84551">
      <w:pPr>
        <w:spacing w:before="80" w:after="80"/>
      </w:pPr>
      <w:r>
        <w:rPr>
          <w:sz w:val="22"/>
          <w:szCs w:val="22"/>
        </w:rPr>
        <w:t>The GLM's S-shaped Lorenz curve deserves particular attention. An insurer using this model to set pricing tiers would inadvertently offer their lowest-premium tier to a mix of genuinely low-risk and genuinely high-risk policyholders, because the model cannot distinguish them. Over time, this segment attracts adverse selection: high-risk policyholders recognize they are being offered below-cost premiums and take them.</w:t>
      </w:r>
    </w:p>
    <w:p w14:paraId="014794F1">
      <w:pPr>
        <w:spacing w:before="80" w:after="80"/>
      </w:pPr>
    </w:p>
    <w:p w14:paraId="47C1D757">
      <w:pPr>
        <w:pStyle w:val="3"/>
        <w:spacing w:before="300" w:after="150"/>
      </w:pPr>
      <w:r>
        <w:t>7.2 Practical Deployment Considerations</w:t>
      </w:r>
    </w:p>
    <w:p w14:paraId="556CD526">
      <w:pPr>
        <w:spacing w:before="80" w:after="80"/>
      </w:pPr>
      <w:r>
        <w:rPr>
          <w:sz w:val="22"/>
          <w:szCs w:val="22"/>
        </w:rPr>
        <w:t>Several practical factors would need addressing before either model enters production:</w:t>
      </w:r>
    </w:p>
    <w:p w14:paraId="54D83447">
      <w:pPr>
        <w:pStyle w:val="16"/>
        <w:numPr>
          <w:ilvl w:val="0"/>
          <w:numId w:val="1"/>
        </w:numPr>
        <w:spacing w:before="60" w:after="60"/>
        <w:ind w:left="360" w:hanging="360"/>
      </w:pPr>
      <w:r>
        <w:rPr>
          <w:sz w:val="22"/>
          <w:szCs w:val="22"/>
        </w:rPr>
        <w:t>BonusMalus timing: if BonusMalus is updated after claims in the same policy period being modeled, there is information leakage. The model should only use BonusMalus values available at policy inception.</w:t>
      </w:r>
    </w:p>
    <w:p w14:paraId="0B55A86B">
      <w:pPr>
        <w:pStyle w:val="16"/>
        <w:numPr>
          <w:ilvl w:val="0"/>
          <w:numId w:val="1"/>
        </w:numPr>
        <w:spacing w:before="60" w:after="60"/>
        <w:ind w:left="360" w:hanging="360"/>
      </w:pPr>
      <w:r>
        <w:rPr>
          <w:sz w:val="22"/>
          <w:szCs w:val="22"/>
        </w:rPr>
        <w:t>GLM interpretability: the GLM's coefficient table gives regulators a directly auditable pricing structure. Each feature's contribution to premium can be explained in terms of multiplicative factors. LightGBM's pricing requires SHAP value explanations to achieve comparable interpretability, feasible but more complex to operationalize.</w:t>
      </w:r>
    </w:p>
    <w:p w14:paraId="249871F3">
      <w:pPr>
        <w:pStyle w:val="16"/>
        <w:numPr>
          <w:ilvl w:val="0"/>
          <w:numId w:val="1"/>
        </w:numPr>
        <w:spacing w:before="60" w:after="60"/>
        <w:ind w:left="360" w:hanging="360"/>
      </w:pPr>
      <w:r>
        <w:rPr>
          <w:sz w:val="22"/>
          <w:szCs w:val="22"/>
        </w:rPr>
        <w:t>Retraining cadence: claim frequency patterns shift with economic conditions, road infrastructure, and population demographics. Both models should be retrained annually at minimum, with monitoring for distribution shift in input features.</w:t>
      </w:r>
    </w:p>
    <w:p w14:paraId="2B3AA22E">
      <w:pPr>
        <w:pStyle w:val="16"/>
        <w:numPr>
          <w:ilvl w:val="0"/>
          <w:numId w:val="1"/>
        </w:numPr>
        <w:spacing w:before="60" w:after="60"/>
        <w:ind w:left="360" w:hanging="360"/>
      </w:pPr>
      <w:r>
        <w:rPr>
          <w:sz w:val="22"/>
          <w:szCs w:val="22"/>
        </w:rPr>
        <w:t>Portfolio mix effects: this model predicts individual policy frequency. Portfolio-level frequency depends on the mix of policies written, which the model does not control. A model with strong individual discrimination can still be surprised by portfolio-level frequency if the book of business shifts toward higher-risk segments.</w:t>
      </w:r>
    </w:p>
    <w:p w14:paraId="4A3B070A">
      <w:r>
        <w:br w:type="page"/>
      </w:r>
    </w:p>
    <w:p w14:paraId="7CD8281D">
      <w:pPr>
        <w:pStyle w:val="2"/>
        <w:pBdr>
          <w:bottom w:val="single" w:color="1F4E79" w:sz="6" w:space="0"/>
        </w:pBdr>
        <w:spacing w:before="400" w:after="200"/>
      </w:pPr>
      <w:r>
        <w:t>8. Conclusion</w:t>
      </w:r>
    </w:p>
    <w:p w14:paraId="6FF542AF">
      <w:pPr>
        <w:spacing w:before="80" w:after="80"/>
      </w:pPr>
      <w:r>
        <w:rPr>
          <w:sz w:val="22"/>
          <w:szCs w:val="22"/>
        </w:rPr>
        <w:t>This project demonstrates that the GLM vs GBM comparison in insurance frequency modeling is not a foregone conclusion in favor of the more complex model. The GLM is a genuine, industry-tested baseline and not a strawman. Its limitations here are specific and explainable: the linear specification cannot capture VehAge's non-linear relationship with claim frequency, and this single gap accounts for a meaningful share of LightGBM's advantage.</w:t>
      </w:r>
    </w:p>
    <w:p w14:paraId="7AB88C1D">
      <w:pPr>
        <w:spacing w:before="80" w:after="80"/>
      </w:pPr>
    </w:p>
    <w:p w14:paraId="6487922A">
      <w:pPr>
        <w:spacing w:before="80" w:after="80"/>
      </w:pPr>
      <w:r>
        <w:rPr>
          <w:sz w:val="22"/>
          <w:szCs w:val="22"/>
        </w:rPr>
        <w:t>The more important finding is methodological. Evaluating a frequency model on accuracy or RMSE would suggest both models are equivalent, since both would show approximately 95% accuracy by predicting zero for every policy. Only Poisson deviance and Lorenz curve analysis reveal the material difference in discriminatory power and the GLM's practical pricing problem from its S-shaped curve.</w:t>
      </w:r>
    </w:p>
    <w:p w14:paraId="7551011F">
      <w:pPr>
        <w:spacing w:before="80" w:after="80"/>
      </w:pPr>
    </w:p>
    <w:p w14:paraId="2DAF2B05">
      <w:pPr>
        <w:spacing w:before="80" w:after="80"/>
      </w:pPr>
      <w:r>
        <w:rPr>
          <w:sz w:val="22"/>
          <w:szCs w:val="22"/>
        </w:rPr>
        <w:t>The low pseudo R2 of approximately 0.01 for both models should not be read as a failure. It reflects the fundamental nature of motor insurance claims: individual accidents are largely random events. The EDA confirms this. Even the strongest predictor, BonusMalus, explains only a small fraction of variance. The value of the model is in extracting the signal that does exist, reliably, across 678,000 policies.</w:t>
      </w:r>
    </w:p>
    <w:p w14:paraId="62604CDF">
      <w:pPr>
        <w:spacing w:before="80" w:after="80"/>
      </w:pPr>
    </w:p>
    <w:p w14:paraId="40B836E4">
      <w:pPr>
        <w:pStyle w:val="3"/>
        <w:spacing w:before="300" w:after="150"/>
      </w:pPr>
      <w:r>
        <w:t>8.1 Summary of Findings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089066E5">
        <w:trPr>
          <w:tblHeader/>
        </w:trPr>
        <w:tc>
          <w:tcPr>
            <w:tcW w:w="4680" w:type="dxa"/>
            <w:shd w:val="clear" w:color="auto" w:fill="1F4E79"/>
          </w:tcPr>
          <w:p w14:paraId="5D428815">
            <w:pPr>
              <w:jc w:val="center"/>
            </w:pPr>
            <w:r>
              <w:rPr>
                <w:b/>
                <w:bCs/>
                <w:color w:val="FFFFFF"/>
                <w:sz w:val="20"/>
                <w:szCs w:val="20"/>
              </w:rPr>
              <w:t>Aspect</w:t>
            </w:r>
          </w:p>
        </w:tc>
        <w:tc>
          <w:tcPr>
            <w:tcW w:w="4680" w:type="dxa"/>
            <w:shd w:val="clear" w:color="auto" w:fill="1F4E79"/>
          </w:tcPr>
          <w:p w14:paraId="6565DA51">
            <w:pPr>
              <w:jc w:val="center"/>
            </w:pPr>
            <w:r>
              <w:rPr>
                <w:b/>
                <w:bCs/>
                <w:color w:val="FFFFFF"/>
                <w:sz w:val="20"/>
                <w:szCs w:val="20"/>
              </w:rPr>
              <w:t>Finding</w:t>
            </w:r>
          </w:p>
        </w:tc>
      </w:tr>
      <w:tr w14:paraId="207A10AC">
        <w:tc>
          <w:tcPr>
            <w:tcW w:w="4680" w:type="dxa"/>
            <w:shd w:val="clear" w:color="auto" w:fill="FFFFFF"/>
          </w:tcPr>
          <w:p w14:paraId="0547FBB7">
            <w:pPr>
              <w:jc w:val="center"/>
            </w:pPr>
            <w:r>
              <w:rPr>
                <w:sz w:val="20"/>
                <w:szCs w:val="20"/>
              </w:rPr>
              <w:t>Dataset</w:t>
            </w:r>
          </w:p>
        </w:tc>
        <w:tc>
          <w:tcPr>
            <w:tcW w:w="4680" w:type="dxa"/>
            <w:shd w:val="clear" w:color="auto" w:fill="FFFFFF"/>
          </w:tcPr>
          <w:p w14:paraId="180E6FC8">
            <w:pPr>
              <w:jc w:val="center"/>
            </w:pPr>
            <w:r>
              <w:rPr>
                <w:sz w:val="20"/>
                <w:szCs w:val="20"/>
              </w:rPr>
              <w:t>678,013 policies, 95% zero claims, portfolio frequency of 0.10</w:t>
            </w:r>
          </w:p>
        </w:tc>
      </w:tr>
      <w:tr w14:paraId="36F55FB1">
        <w:tc>
          <w:tcPr>
            <w:tcW w:w="4680" w:type="dxa"/>
            <w:shd w:val="clear" w:color="auto" w:fill="F2F2F2"/>
          </w:tcPr>
          <w:p w14:paraId="73F19938">
            <w:pPr>
              <w:jc w:val="center"/>
            </w:pPr>
            <w:r>
              <w:rPr>
                <w:sz w:val="20"/>
                <w:szCs w:val="20"/>
              </w:rPr>
              <w:t>Data quality</w:t>
            </w:r>
          </w:p>
        </w:tc>
        <w:tc>
          <w:tcPr>
            <w:tcW w:w="4680" w:type="dxa"/>
            <w:shd w:val="clear" w:color="auto" w:fill="F2F2F2"/>
          </w:tcPr>
          <w:p w14:paraId="289654FE">
            <w:pPr>
              <w:jc w:val="center"/>
            </w:pPr>
            <w:r>
              <w:rPr>
                <w:sz w:val="20"/>
                <w:szCs w:val="20"/>
              </w:rPr>
              <w:t>VehAge and Exposure outliers confirmed and capped per actuarial literature conventions</w:t>
            </w:r>
          </w:p>
        </w:tc>
      </w:tr>
      <w:tr w14:paraId="5C1C579F">
        <w:tc>
          <w:tcPr>
            <w:tcW w:w="4680" w:type="dxa"/>
            <w:shd w:val="clear" w:color="auto" w:fill="FFFFFF"/>
          </w:tcPr>
          <w:p w14:paraId="4729A480">
            <w:pPr>
              <w:jc w:val="center"/>
            </w:pPr>
            <w:r>
              <w:rPr>
                <w:sz w:val="20"/>
                <w:szCs w:val="20"/>
              </w:rPr>
              <w:t>Strongest predictor</w:t>
            </w:r>
          </w:p>
        </w:tc>
        <w:tc>
          <w:tcPr>
            <w:tcW w:w="4680" w:type="dxa"/>
            <w:shd w:val="clear" w:color="auto" w:fill="FFFFFF"/>
          </w:tcPr>
          <w:p w14:paraId="0928EA08">
            <w:pPr>
              <w:jc w:val="center"/>
            </w:pPr>
            <w:r>
              <w:rPr>
                <w:sz w:val="20"/>
                <w:szCs w:val="20"/>
              </w:rPr>
              <w:t>BonusMalus, dominant in both models, consistent with EDA</w:t>
            </w:r>
          </w:p>
        </w:tc>
      </w:tr>
      <w:tr w14:paraId="0464B44A">
        <w:tc>
          <w:tcPr>
            <w:tcW w:w="4680" w:type="dxa"/>
            <w:shd w:val="clear" w:color="auto" w:fill="F2F2F2"/>
          </w:tcPr>
          <w:p w14:paraId="4708B8C4">
            <w:pPr>
              <w:jc w:val="center"/>
            </w:pPr>
            <w:r>
              <w:rPr>
                <w:sz w:val="20"/>
                <w:szCs w:val="20"/>
              </w:rPr>
              <w:t>GLM performance</w:t>
            </w:r>
          </w:p>
        </w:tc>
        <w:tc>
          <w:tcPr>
            <w:tcW w:w="4680" w:type="dxa"/>
            <w:shd w:val="clear" w:color="auto" w:fill="F2F2F2"/>
          </w:tcPr>
          <w:p w14:paraId="72953326">
            <w:pPr>
              <w:jc w:val="center"/>
            </w:pPr>
            <w:r>
              <w:rPr>
                <w:sz w:val="20"/>
                <w:szCs w:val="20"/>
              </w:rPr>
              <w:t>3.1% deviance improvement over naive baseline, Gini = -0.047 (S-shaped Lorenz curve)</w:t>
            </w:r>
          </w:p>
        </w:tc>
      </w:tr>
      <w:tr w14:paraId="7004CB00">
        <w:tc>
          <w:tcPr>
            <w:tcW w:w="4680" w:type="dxa"/>
            <w:shd w:val="clear" w:color="auto" w:fill="FFFFFF"/>
          </w:tcPr>
          <w:p w14:paraId="4C8389FF">
            <w:pPr>
              <w:jc w:val="center"/>
            </w:pPr>
            <w:r>
              <w:rPr>
                <w:sz w:val="20"/>
                <w:szCs w:val="20"/>
              </w:rPr>
              <w:t>LightGBM performance</w:t>
            </w:r>
          </w:p>
        </w:tc>
        <w:tc>
          <w:tcPr>
            <w:tcW w:w="4680" w:type="dxa"/>
            <w:shd w:val="clear" w:color="auto" w:fill="FFFFFF"/>
          </w:tcPr>
          <w:p w14:paraId="0AEB6A12">
            <w:pPr>
              <w:jc w:val="center"/>
            </w:pPr>
            <w:r>
              <w:rPr>
                <w:sz w:val="20"/>
                <w:szCs w:val="20"/>
              </w:rPr>
              <w:t>8.4% deviance improvement over naive baseline, Gini = 0.101 (monotonic curve)</w:t>
            </w:r>
          </w:p>
        </w:tc>
      </w:tr>
      <w:tr w14:paraId="7E7E9B58">
        <w:tc>
          <w:tcPr>
            <w:tcW w:w="4680" w:type="dxa"/>
            <w:shd w:val="clear" w:color="auto" w:fill="F2F2F2"/>
          </w:tcPr>
          <w:p w14:paraId="4728F6C0">
            <w:pPr>
              <w:jc w:val="center"/>
            </w:pPr>
            <w:r>
              <w:rPr>
                <w:sz w:val="20"/>
                <w:szCs w:val="20"/>
              </w:rPr>
              <w:t>Key driver of difference</w:t>
            </w:r>
          </w:p>
        </w:tc>
        <w:tc>
          <w:tcPr>
            <w:tcW w:w="4680" w:type="dxa"/>
            <w:shd w:val="clear" w:color="auto" w:fill="F2F2F2"/>
          </w:tcPr>
          <w:p w14:paraId="47C2AEB1">
            <w:pPr>
              <w:jc w:val="center"/>
            </w:pPr>
            <w:r>
              <w:rPr>
                <w:sz w:val="20"/>
                <w:szCs w:val="20"/>
              </w:rPr>
              <w:t>VehAge non-linearity: second most important feature in LightGBM, absent from GLM top 10</w:t>
            </w:r>
          </w:p>
        </w:tc>
      </w:tr>
      <w:tr w14:paraId="7938979F">
        <w:tc>
          <w:tcPr>
            <w:tcW w:w="4680" w:type="dxa"/>
            <w:shd w:val="clear" w:color="auto" w:fill="FFFFFF"/>
          </w:tcPr>
          <w:p w14:paraId="65B8345D">
            <w:pPr>
              <w:jc w:val="center"/>
            </w:pPr>
            <w:r>
              <w:rPr>
                <w:sz w:val="20"/>
                <w:szCs w:val="20"/>
              </w:rPr>
              <w:t>Business implication</w:t>
            </w:r>
          </w:p>
        </w:tc>
        <w:tc>
          <w:tcPr>
            <w:tcW w:w="4680" w:type="dxa"/>
            <w:shd w:val="clear" w:color="auto" w:fill="FFFFFF"/>
          </w:tcPr>
          <w:p w14:paraId="13B2059F">
            <w:pPr>
              <w:jc w:val="center"/>
            </w:pPr>
            <w:r>
              <w:rPr>
                <w:sz w:val="20"/>
                <w:szCs w:val="20"/>
              </w:rPr>
              <w:t>GLM's negative Gini creates adverse selection risk in pricing tier construction</w:t>
            </w:r>
          </w:p>
        </w:tc>
      </w:tr>
    </w:tbl>
    <w:p w14:paraId="21EB6405">
      <w:r>
        <w:br w:type="page"/>
      </w:r>
    </w:p>
    <w:p w14:paraId="1D440BEF">
      <w:pPr>
        <w:pStyle w:val="2"/>
        <w:pBdr>
          <w:bottom w:val="single" w:color="1F4E79" w:sz="6" w:space="0"/>
        </w:pBdr>
        <w:spacing w:before="400" w:after="200"/>
      </w:pPr>
      <w:r>
        <w:t>9. Repository Structure</w:t>
      </w:r>
    </w:p>
    <w:p w14:paraId="4E4CE860">
      <w:pPr>
        <w:spacing w:before="80" w:after="80"/>
      </w:pPr>
      <w:r>
        <w:rPr>
          <w:sz w:val="22"/>
          <w:szCs w:val="22"/>
        </w:rPr>
        <w:t>The project is organized as six standalone notebooks, each committed to a dedicated feature branch and merged to main via pull request:</w:t>
      </w:r>
    </w:p>
    <w:p w14:paraId="1896F1F9">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05D1E8CD">
        <w:trPr>
          <w:tblHeader/>
        </w:trPr>
        <w:tc>
          <w:tcPr>
            <w:tcW w:w="4680" w:type="dxa"/>
            <w:shd w:val="clear" w:color="auto" w:fill="1F4E79"/>
          </w:tcPr>
          <w:p w14:paraId="602DF992">
            <w:pPr>
              <w:jc w:val="center"/>
            </w:pPr>
            <w:r>
              <w:rPr>
                <w:b/>
                <w:bCs/>
                <w:color w:val="FFFFFF"/>
                <w:sz w:val="20"/>
                <w:szCs w:val="20"/>
              </w:rPr>
              <w:t>Notebook</w:t>
            </w:r>
          </w:p>
        </w:tc>
        <w:tc>
          <w:tcPr>
            <w:tcW w:w="4680" w:type="dxa"/>
            <w:shd w:val="clear" w:color="auto" w:fill="1F4E79"/>
          </w:tcPr>
          <w:p w14:paraId="6605EC6A">
            <w:pPr>
              <w:jc w:val="center"/>
            </w:pPr>
            <w:r>
              <w:rPr>
                <w:b/>
                <w:bCs/>
                <w:color w:val="FFFFFF"/>
                <w:sz w:val="20"/>
                <w:szCs w:val="20"/>
              </w:rPr>
              <w:t>Contents</w:t>
            </w:r>
          </w:p>
        </w:tc>
      </w:tr>
      <w:tr w14:paraId="4ED37DD5">
        <w:tc>
          <w:tcPr>
            <w:tcW w:w="4680" w:type="dxa"/>
            <w:shd w:val="clear" w:color="auto" w:fill="FFFFFF"/>
          </w:tcPr>
          <w:p w14:paraId="4ED87906">
            <w:pPr>
              <w:jc w:val="center"/>
            </w:pPr>
            <w:r>
              <w:rPr>
                <w:sz w:val="20"/>
                <w:szCs w:val="20"/>
              </w:rPr>
              <w:t>01_data_prep.ipynb</w:t>
            </w:r>
          </w:p>
        </w:tc>
        <w:tc>
          <w:tcPr>
            <w:tcW w:w="4680" w:type="dxa"/>
            <w:shd w:val="clear" w:color="auto" w:fill="FFFFFF"/>
          </w:tcPr>
          <w:p w14:paraId="78B39144">
            <w:pPr>
              <w:jc w:val="center"/>
            </w:pPr>
            <w:r>
              <w:rPr>
                <w:sz w:val="20"/>
                <w:szCs w:val="20"/>
              </w:rPr>
              <w:t>Custom ARFF parser, dtype conversion, parquet serialization</w:t>
            </w:r>
          </w:p>
        </w:tc>
      </w:tr>
      <w:tr w14:paraId="6A307ACD">
        <w:tc>
          <w:tcPr>
            <w:tcW w:w="4680" w:type="dxa"/>
            <w:shd w:val="clear" w:color="auto" w:fill="F2F2F2"/>
          </w:tcPr>
          <w:p w14:paraId="676B5916">
            <w:pPr>
              <w:jc w:val="center"/>
            </w:pPr>
            <w:r>
              <w:rPr>
                <w:sz w:val="20"/>
                <w:szCs w:val="20"/>
              </w:rPr>
              <w:t>02_eda.ipynb</w:t>
            </w:r>
          </w:p>
        </w:tc>
        <w:tc>
          <w:tcPr>
            <w:tcW w:w="4680" w:type="dxa"/>
            <w:shd w:val="clear" w:color="auto" w:fill="F2F2F2"/>
          </w:tcPr>
          <w:p w14:paraId="40F90E72">
            <w:pPr>
              <w:jc w:val="center"/>
            </w:pPr>
            <w:r>
              <w:rPr>
                <w:sz w:val="20"/>
                <w:szCs w:val="20"/>
              </w:rPr>
              <w:t>Portfolio frequency, zero-claim analysis, exposure-weighted frequency by feature, correlation heatmap</w:t>
            </w:r>
          </w:p>
        </w:tc>
      </w:tr>
      <w:tr w14:paraId="0195B425">
        <w:tc>
          <w:tcPr>
            <w:tcW w:w="4680" w:type="dxa"/>
            <w:shd w:val="clear" w:color="auto" w:fill="FFFFFF"/>
          </w:tcPr>
          <w:p w14:paraId="0D2E128B">
            <w:pPr>
              <w:jc w:val="center"/>
            </w:pPr>
            <w:r>
              <w:rPr>
                <w:sz w:val="20"/>
                <w:szCs w:val="20"/>
              </w:rPr>
              <w:t>03_feature_engineering.ipynb</w:t>
            </w:r>
          </w:p>
        </w:tc>
        <w:tc>
          <w:tcPr>
            <w:tcW w:w="4680" w:type="dxa"/>
            <w:shd w:val="clear" w:color="auto" w:fill="FFFFFF"/>
          </w:tcPr>
          <w:p w14:paraId="65808031">
            <w:pPr>
              <w:jc w:val="center"/>
            </w:pPr>
            <w:r>
              <w:rPr>
                <w:sz w:val="20"/>
                <w:szCs w:val="20"/>
              </w:rPr>
              <w:t>Outlier capping, ordinal encoding, one-hot encoding, train/test split, parallel GLM and GBM feature sets</w:t>
            </w:r>
          </w:p>
        </w:tc>
      </w:tr>
      <w:tr w14:paraId="58EFAA43">
        <w:tc>
          <w:tcPr>
            <w:tcW w:w="4680" w:type="dxa"/>
            <w:shd w:val="clear" w:color="auto" w:fill="F2F2F2"/>
          </w:tcPr>
          <w:p w14:paraId="4098B73C">
            <w:pPr>
              <w:jc w:val="center"/>
            </w:pPr>
            <w:r>
              <w:rPr>
                <w:sz w:val="20"/>
                <w:szCs w:val="20"/>
              </w:rPr>
              <w:t>04_glm_modeling.ipynb</w:t>
            </w:r>
          </w:p>
        </w:tc>
        <w:tc>
          <w:tcPr>
            <w:tcW w:w="4680" w:type="dxa"/>
            <w:shd w:val="clear" w:color="auto" w:fill="F2F2F2"/>
          </w:tcPr>
          <w:p w14:paraId="76B4BD0F">
            <w:pPr>
              <w:jc w:val="center"/>
            </w:pPr>
            <w:r>
              <w:rPr>
                <w:sz w:val="20"/>
                <w:szCs w:val="20"/>
              </w:rPr>
              <w:t>Poisson GLM fit, coefficient analysis, Poisson deviance, Lorenz curve, results serialization</w:t>
            </w:r>
          </w:p>
        </w:tc>
      </w:tr>
      <w:tr w14:paraId="16D21B0E">
        <w:tc>
          <w:tcPr>
            <w:tcW w:w="4680" w:type="dxa"/>
            <w:shd w:val="clear" w:color="auto" w:fill="FFFFFF"/>
          </w:tcPr>
          <w:p w14:paraId="43DF54C7">
            <w:pPr>
              <w:jc w:val="center"/>
            </w:pPr>
            <w:r>
              <w:rPr>
                <w:sz w:val="20"/>
                <w:szCs w:val="20"/>
              </w:rPr>
              <w:t>05_gbm_modeling.ipynb</w:t>
            </w:r>
          </w:p>
        </w:tc>
        <w:tc>
          <w:tcPr>
            <w:tcW w:w="4680" w:type="dxa"/>
            <w:shd w:val="clear" w:color="auto" w:fill="FFFFFF"/>
          </w:tcPr>
          <w:p w14:paraId="529B3AC3">
            <w:pPr>
              <w:jc w:val="center"/>
            </w:pPr>
            <w:r>
              <w:rPr>
                <w:sz w:val="20"/>
                <w:szCs w:val="20"/>
              </w:rPr>
              <w:t>LightGBM training with Poisson objective and exposure offset, deviance, Lorenz curve, feature importance</w:t>
            </w:r>
          </w:p>
        </w:tc>
      </w:tr>
      <w:tr w14:paraId="6C41EC41">
        <w:tc>
          <w:tcPr>
            <w:tcW w:w="4680" w:type="dxa"/>
            <w:shd w:val="clear" w:color="auto" w:fill="F2F2F2"/>
          </w:tcPr>
          <w:p w14:paraId="4038543A">
            <w:pPr>
              <w:jc w:val="center"/>
            </w:pPr>
            <w:r>
              <w:rPr>
                <w:sz w:val="20"/>
                <w:szCs w:val="20"/>
              </w:rPr>
              <w:t>06_comparison.ipynb</w:t>
            </w:r>
          </w:p>
        </w:tc>
        <w:tc>
          <w:tcPr>
            <w:tcW w:w="4680" w:type="dxa"/>
            <w:shd w:val="clear" w:color="auto" w:fill="F2F2F2"/>
          </w:tcPr>
          <w:p w14:paraId="447252F7">
            <w:pPr>
              <w:jc w:val="center"/>
            </w:pPr>
            <w:r>
              <w:rPr>
                <w:sz w:val="20"/>
                <w:szCs w:val="20"/>
              </w:rPr>
              <w:t>Side-by-side metrics table, overlaid Lorenz curves, coefficient vs gain importance comparison</w:t>
            </w:r>
          </w:p>
        </w:tc>
      </w:tr>
    </w:tbl>
    <w:p w14:paraId="7EB226CC">
      <w:pPr>
        <w:spacing w:before="80" w:after="80"/>
      </w:pPr>
    </w:p>
    <w:p w14:paraId="7983404A">
      <w:pPr>
        <w:spacing w:before="80" w:after="80"/>
      </w:pPr>
      <w:r>
        <w:rPr>
          <w:sz w:val="22"/>
          <w:szCs w:val="22"/>
        </w:rPr>
        <w:t>All notebooks follow a consistent structure. A setup cell handles environment initialization. A parse_arff and prepare_data function regenerates processed data from source if parquet files are absent, since data files are gitignored. Analysis cells follow. Git operations are kept in a separate operations notebook and never appear inside analysis notebooks.</w:t>
      </w:r>
    </w:p>
    <w:p w14:paraId="4C8184EE">
      <w:r>
        <w:br w:type="page"/>
      </w:r>
    </w:p>
    <w:p w14:paraId="79A5026B">
      <w:pPr>
        <w:pStyle w:val="2"/>
        <w:pBdr>
          <w:bottom w:val="single" w:color="1F4E79" w:sz="6" w:space="0"/>
        </w:pBdr>
        <w:spacing w:before="400" w:after="200"/>
      </w:pPr>
      <w:r>
        <w:t>References</w:t>
      </w:r>
    </w:p>
    <w:p w14:paraId="186D8CC3">
      <w:pPr>
        <w:pStyle w:val="16"/>
        <w:numPr>
          <w:ilvl w:val="0"/>
          <w:numId w:val="1"/>
        </w:numPr>
        <w:spacing w:before="60" w:after="60"/>
        <w:ind w:left="360" w:hanging="360"/>
      </w:pPr>
      <w:r>
        <w:rPr>
          <w:sz w:val="22"/>
          <w:szCs w:val="22"/>
        </w:rPr>
        <w:t>Ke, G., Meng, Q., Finley, T., Wang, T., Chen, W., Ma, W., Ye, Q. and Liu, T.-Y. (2017) 'LightGBM: A highly efficient gradient boosting decision tree', in Guyon, I., Luxburg, U.V., Bengio, S., Wallach, H., Fergus, R., Vishwanathan, S. and Garnett, R. (eds.) Advances in Neural Information Processing Systems 30. Curran Associates, Inc., pp. 3146-3154.</w:t>
      </w:r>
    </w:p>
    <w:p w14:paraId="69F7756B">
      <w:pPr>
        <w:pStyle w:val="16"/>
        <w:numPr>
          <w:ilvl w:val="0"/>
          <w:numId w:val="1"/>
        </w:numPr>
        <w:spacing w:before="60" w:after="60"/>
        <w:ind w:left="360" w:hanging="360"/>
      </w:pPr>
      <w:r>
        <w:rPr>
          <w:sz w:val="22"/>
          <w:szCs w:val="22"/>
        </w:rPr>
        <w:t>Noll, A., Salzmann, R. and Wuthrich, M.V. (2020) Case study: French motor third-party liability claims. SSRN Working Paper 3164764. Available at: https://ssrn.com/abstract=3164764 (Accessed: 12 July 2026).</w:t>
      </w:r>
    </w:p>
    <w:p w14:paraId="1D86C5CE">
      <w:pPr>
        <w:pStyle w:val="16"/>
        <w:numPr>
          <w:ilvl w:val="0"/>
          <w:numId w:val="1"/>
        </w:numPr>
        <w:spacing w:before="60" w:after="60"/>
        <w:ind w:left="360" w:hanging="360"/>
      </w:pPr>
      <w:r>
        <w:rPr>
          <w:sz w:val="22"/>
          <w:szCs w:val="22"/>
        </w:rPr>
        <w:t>Pedregosa, F., Varoquaux, G., Gramfort, A., Michel, V., Thirion, B., Grisel, O., Blondel, M., Prettenhofer, P., Weiss, R., Dubourg, V., Vanderplas, J., Passos, A., Cournapeau, D., Brucher, M., Perrot, M. and Duchesnay, E. (2011) 'Scikit-learn: Machine learning in Python', Journal of Machine Learning Research, 12, pp. 2825-2830.</w:t>
      </w:r>
    </w:p>
    <w:p w14:paraId="7BBBC6B8">
      <w:pPr>
        <w:pStyle w:val="16"/>
        <w:numPr>
          <w:ilvl w:val="0"/>
          <w:numId w:val="1"/>
        </w:numPr>
        <w:spacing w:before="60" w:after="60"/>
        <w:ind w:left="360" w:hanging="360"/>
      </w:pPr>
      <w:r>
        <w:rPr>
          <w:sz w:val="22"/>
          <w:szCs w:val="22"/>
        </w:rPr>
        <w:t>Seabold, S. and Perktold, J. (2010) 'statsmodels: Econometric and statistical modeling with Python', in Proceedings of the 9th Python in Science Conference (SciPy 2010). Austin, Texas, pp. 92-96.</w:t>
      </w:r>
    </w:p>
    <w:p w14:paraId="055CB7B6">
      <w:pPr>
        <w:pStyle w:val="16"/>
        <w:numPr>
          <w:ilvl w:val="0"/>
          <w:numId w:val="1"/>
        </w:numPr>
        <w:spacing w:before="60" w:after="60"/>
        <w:ind w:left="360" w:hanging="360"/>
      </w:pPr>
      <w:r>
        <w:rPr>
          <w:sz w:val="22"/>
          <w:szCs w:val="22"/>
        </w:rPr>
        <w:t>Wuthrich, M.V. and Buser, C. (2023) Data analytics for non-life insurance pricing. Swiss Finance Institute Research Paper No. 16-68. Available at: https://ssrn.com/abstract=2870308 (Accessed: 12 July 2026).</w:t>
      </w:r>
    </w:p>
    <w:p w14:paraId="68717E68">
      <w:pPr>
        <w:pStyle w:val="16"/>
        <w:numPr>
          <w:ilvl w:val="0"/>
          <w:numId w:val="1"/>
        </w:numPr>
        <w:spacing w:before="60" w:after="60"/>
        <w:ind w:left="360" w:hanging="360"/>
      </w:pPr>
      <w:r>
        <w:rPr>
          <w:sz w:val="22"/>
          <w:szCs w:val="22"/>
        </w:rPr>
        <w:t>OpenML (2019) freMTPL2freq dataset [Dataset]. Available at: https://www.openml.org/d/41214 (Accessed: 12 July 2026).</w:t>
      </w: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6E61234"/>
    <w:multiLevelType w:val="multilevel"/>
    <w:tmpl w:val="B6E61234"/>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3"/>
  <w:displayBackgroundShape w:val="1"/>
  <w:documentProtection w:enforcement="0"/>
  <w:compat>
    <w:compatSetting w:name="compatibilityMode" w:uri="http://schemas.microsoft.com/office/word" w:val="15"/>
  </w:compat>
  <w:rsids>
    <w:rsidRoot w:val="00000000"/>
    <w:rsid w:val="DFF9143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uiPriority w:val="0"/>
    <w:rPr>
      <w:b/>
      <w:bCs/>
      <w:color w:val="1F4E79"/>
      <w:sz w:val="32"/>
      <w:szCs w:val="32"/>
    </w:rPr>
  </w:style>
  <w:style w:type="paragraph" w:styleId="3">
    <w:name w:val="heading 2"/>
    <w:next w:val="1"/>
    <w:uiPriority w:val="0"/>
    <w:rPr>
      <w:b/>
      <w:bCs/>
      <w:color w:val="1F4E79"/>
      <w:sz w:val="26"/>
      <w:szCs w:val="26"/>
    </w:rPr>
  </w:style>
  <w:style w:type="paragraph" w:styleId="4">
    <w:name w:val="heading 3"/>
    <w:next w:val="1"/>
    <w:uiPriority w:val="0"/>
    <w:rPr>
      <w:b/>
      <w:bCs/>
      <w:color w:val="C55A11"/>
      <w:sz w:val="22"/>
      <w:szCs w:val="22"/>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sz w:val="20"/>
      <w:szCs w:val="20"/>
    </w:rPr>
  </w:style>
  <w:style w:type="character" w:styleId="14">
    <w:name w:val="Hyperlink"/>
    <w:unhideWhenUsed/>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16</Pages>
  <TotalTime>131</TotalTime>
  <ScaleCrop>false</ScaleCrop>
  <LinksUpToDate>false</LinksUpToDate>
  <Application>WPS Office_12.1.26015.26015_F1E327BC-269C-435d-A152-05C5408002CA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Samuel Bassey</dc:creator>
  <cp:lastModifiedBy>samuelbassey</cp:lastModifiedBy>
  <dcterms:modified xsi:type="dcterms:W3CDTF">2026-07-13T22:37:46Z</dcterms:modified>
  <dc:title>Predicting Auto Insurance Claim Frequency: A Poisson GLM vs LightGBM Approach</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1033-12.1.26015.26015</vt:lpwstr>
  </property>
  <property fmtid="{D5CDD505-2E9C-101B-9397-08002B2CF9AE}" pid="3" name="ICV">
    <vt:lpwstr>BFCB6F37251E8FFDAA5A556AB54E02FF_42</vt:lpwstr>
  </property>
</Properties>
</file>