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Retail Sales Forecasting</w:t>
      </w:r>
    </w:p>
    <w:p>
      <w:pPr>
        <w:spacing w:after="400"/>
      </w:pPr>
      <w:r>
        <w:rPr>
          <w:color w:val="555555"/>
          <w:sz w:val="26"/>
          <w:szCs w:val="26"/>
        </w:rPr>
        <w:t xml:space="preserve">Statistical vs. Machine Learning Models on Walmart Weekly Sales</w:t>
      </w:r>
    </w:p>
    <w:p>
      <w:pPr>
        <w:pStyle w:val="Heading1"/>
        <w:spacing w:after="150" w:before="300"/>
      </w:pPr>
      <w:r>
        <w:t xml:space="preserve">Executive Summary</w:t>
      </w:r>
    </w:p>
    <w:p>
      <w:pPr>
        <w:spacing w:after="160"/>
      </w:pPr>
      <w:r>
        <w:t xml:space="preserve">This project compares seven forecasting models, spanning naive baselines, classical statistical methods, and gradient-boosted machine learning, on national weekly retail sales. The data comes from Walmart's Store Sales dataset, with all 45 stores rolled up into one national weekly series covering February 2010 through October 2012.</w:t>
      </w:r>
    </w:p>
    <w:p>
      <w:pPr>
        <w:spacing w:after="160"/>
      </w:pPr>
      <w:r>
        <w:rPr>
          <w:b/>
          <w:bCs/>
        </w:rPr>
        <w:t xml:space="preserve">Headline result: </w:t>
      </w:r>
      <w:r>
        <w:t xml:space="preserve">SARIMA(0,0,0)(1,0,0,52) came out on top, with a 2.28% MAPE, ahead of both baselines, ARIMA, Prophet, XGBoost, and LightGBM. The reason isn't mysterious: its seasonal term looks directly at sales from roughly a year ago, and that turned out to matter more than the flexibility XGBoost and LightGBM offer. With only 73 rows to train on, the gradient-boosting models simply didn't have enough data to put that flexibility to good use.</w:t>
      </w:r>
    </w:p>
    <w:p>
      <w:pPr>
        <w:spacing w:after="160"/>
      </w:pPr>
      <w:r>
        <w:t xml:space="preserve">What makes this result more than a coincidence is that two completely different analyses pointed the same direction. Seasonal decomposition had already flagged a strong 52-week cycle, and separately, XGBoost's own feature importance ranking put Sales_lag52 about 10x ahead of everything else it was given. Three unrelated methods, same answer.</w:t>
      </w:r>
    </w:p>
    <w:p>
      <w:pPr>
        <w:pStyle w:val="Heading1"/>
        <w:spacing w:after="150" w:before="300"/>
      </w:pPr>
      <w:r>
        <w:t xml:space="preserve">Business Objective</w:t>
      </w:r>
    </w:p>
    <w:p>
      <w:pPr>
        <w:spacing w:after="160"/>
      </w:pPr>
      <w:r>
        <w:t xml:space="preserve">The goal is a weekly national sales forecast that can actually support decisions around inventory, staffing, and promotions, and, just as importantly, a real answer to whether the extra complexity of machine learning models is worth it here, or whether a simpler statistical model gets you further.</w:t>
      </w:r>
    </w:p>
    <w:p>
      <w:pPr>
        <w:pStyle w:val="Heading1"/>
        <w:spacing w:after="150" w:before="300"/>
      </w:pPr>
      <w:r>
        <w:t xml:space="preserve">Dataset</w:t>
      </w:r>
    </w:p>
    <w:p>
      <w:pPr>
        <w:spacing w:after="160"/>
      </w:pPr>
      <w:r>
        <w:t xml:space="preserve">Walmart Store Sales (Kaggle): weekly sales across 45 stores from 2010-02-05 to 2012-10-26, 143 weeks per store, 6,435 rows in total. It also includes a holiday flag and four regional indicators: temperature, fuel price, CPI, and unemployment. The panel is fully balanced, and there's nothing missing or duplicated in it, which is rarer than it should be.</w:t>
      </w:r>
    </w:p>
    <w:p>
      <w:pPr>
        <w:spacing w:after="160"/>
      </w:pPr>
      <w:r>
        <w:t xml:space="preserve">Rather than model all 45 stores individually, they were summed into a single national series (economic indicators were averaged instead of summed, since those are rates, not totals, and the holiday flag was taken as the max across stores). This was a deliberate trade-off: a 45-way hierarchical forecasting problem is a much bigger project, and the goal here was to go deep on one series rather than spread thin across many.</w:t>
      </w:r>
    </w:p>
    <w:p>
      <w:pPr>
        <w:pStyle w:val="Heading1"/>
        <w:spacing w:after="150" w:before="300"/>
      </w:pPr>
      <w:r>
        <w:t xml:space="preserve">Methodology</w:t>
      </w:r>
    </w:p>
    <w:p>
      <w:pPr>
        <w:spacing w:after="160"/>
      </w:pPr>
      <w:r>
        <w:t xml:space="preserve">The work followed the CRISP-DM structure: understand the data, prepare it, explore it, build models, evaluate them honestly, and translate that into recommendations.</w:t>
      </w:r>
    </w:p>
    <w:p>
      <w:pPr>
        <w:pStyle w:val="Heading2"/>
        <w:spacing w:after="120" w:before="240"/>
      </w:pPr>
      <w:r>
        <w:t xml:space="preserve">Key data preparation decisions</w:t>
      </w:r>
    </w:p>
    <w:p>
      <w:pPr>
        <w:pStyle w:val="ListParagraph"/>
        <w:numPr>
          <w:ilvl w:val="0"/>
          <w:numId w:val="2"/>
        </w:numPr>
        <w:spacing w:after="100"/>
      </w:pPr>
      <w:r>
        <w:t xml:space="preserve">Dates were parsed explicitly as DD-MM-YYYY. Left to its defaults, pandas would silently misread some of these as US-format dates, no error, just wrong dates, so this needed to be forced rather than assumed.</w:t>
      </w:r>
    </w:p>
    <w:p>
      <w:pPr>
        <w:pStyle w:val="ListParagraph"/>
        <w:numPr>
          <w:ilvl w:val="0"/>
          <w:numId w:val="2"/>
        </w:numPr>
        <w:spacing w:after="100"/>
      </w:pPr>
      <w:r>
        <w:t xml:space="preserve">Temperature, fuel price, CPI, and unemployment were all lagged by one week before use. Using this week's own values would mean assuming we already knew this week's conditions before the week happened, which isn't realistic and would have leaked future information into the model.</w:t>
      </w:r>
    </w:p>
    <w:p>
      <w:pPr>
        <w:pStyle w:val="ListParagraph"/>
        <w:numPr>
          <w:ilvl w:val="0"/>
          <w:numId w:val="2"/>
        </w:numPr>
        <w:spacing w:after="100"/>
      </w:pPr>
      <w:r>
        <w:t xml:space="preserve">For the ML models specifically, lag features (1, 4, and 52 weeks back), rolling averages and standard deviations (computed on the lagged series, not the raw one, to avoid the same leakage problem), and calendar features (week of year, month, year) were built. Requiring a 52-week lag meant losing the first year of data, dropping the usable set from 143 rows to 91.</w:t>
      </w:r>
    </w:p>
    <w:p>
      <w:pPr>
        <w:pStyle w:val="ListParagraph"/>
        <w:numPr>
          <w:ilvl w:val="0"/>
          <w:numId w:val="2"/>
        </w:numPr>
        <w:spacing w:after="100"/>
      </w:pPr>
      <w:r>
        <w:t xml:space="preserve">The train/test split respects chronological order throughout, 73 weeks to train, 18 held out to test, and rolling-origin cross-validation (4 folds) was layered on top since 91 rows isn't a lot to work with.</w:t>
      </w:r>
    </w:p>
    <w:p>
      <w:pPr>
        <w:pStyle w:val="Heading1"/>
        <w:spacing w:after="150" w:before="300"/>
      </w:pPr>
      <w:r>
        <w:t xml:space="preserve">Model Comparison</w:t>
      </w:r>
    </w:p>
    <w:p>
      <w:pPr>
        <w:spacing w:after="160"/>
      </w:pPr>
      <w:r>
        <w:t xml:space="preserve">Every model was tested against the same 18-week holdout period, scored on MAE, RMSE, and MAPE.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00"/>
      </w:tblGrid>
      <w:tr>
        <w:tc>
          <w:tcPr>
            <w:tcW w:type="dxa" w:w="3200"/>
            <w:shd w:fill="2E3B4E" w:color="auto" w:val="clear"/>
          </w:tcPr>
          <w:p>
            <w:r>
              <w:rPr>
                <w:b/>
                <w:bCs/>
                <w:color w:val="FFFFFF"/>
              </w:rPr>
              <w:t xml:space="preserve">Model</w:t>
            </w:r>
          </w:p>
        </w:tc>
        <w:tc>
          <w:tcPr>
            <w:tcW w:type="dxa" w:w="1900"/>
            <w:shd w:fill="2E3B4E" w:color="auto" w:val="clear"/>
          </w:tcPr>
          <w:p>
            <w:r>
              <w:rPr>
                <w:b/>
                <w:bCs/>
                <w:color w:val="FFFFFF"/>
              </w:rPr>
              <w:t xml:space="preserve">MAE</w:t>
            </w:r>
          </w:p>
        </w:tc>
        <w:tc>
          <w:tcPr>
            <w:tcW w:type="dxa" w:w="1900"/>
            <w:shd w:fill="2E3B4E" w:color="auto" w:val="clear"/>
          </w:tcPr>
          <w:p>
            <w:r>
              <w:rPr>
                <w:b/>
                <w:bCs/>
                <w:color w:val="FFFFFF"/>
              </w:rPr>
              <w:t xml:space="preserve">RMSE</w:t>
            </w:r>
          </w:p>
        </w:tc>
        <w:tc>
          <w:tcPr>
            <w:tcW w:type="dxa" w:w="1900"/>
            <w:shd w:fill="2E3B4E" w:color="auto" w:val="clear"/>
          </w:tcPr>
          <w:p>
            <w:r>
              <w:rPr>
                <w:b/>
                <w:bCs/>
                <w:color w:val="FFFFFF"/>
              </w:rPr>
              <w:t xml:space="preserve">MAPE</w:t>
            </w:r>
          </w:p>
        </w:tc>
      </w:tr>
      <w:tr>
        <w:tc>
          <w:tcPr>
            <w:tcW w:type="dxa" w:w="3200"/>
          </w:tcPr>
          <w:p>
            <w:r>
              <w:rPr>
                <w:b w:val="false"/>
                <w:bCs w:val="false"/>
              </w:rPr>
              <w:t xml:space="preserve">Naive Forecast</w:t>
            </w:r>
          </w:p>
        </w:tc>
        <w:tc>
          <w:tcPr>
            <w:tcW w:type="dxa" w:w="1900"/>
          </w:tcPr>
          <w:p>
            <w:r>
              <w:rPr>
                <w:b w:val="false"/>
                <w:bCs w:val="false"/>
              </w:rPr>
              <w:t xml:space="preserve">$1,639,109</w:t>
            </w:r>
          </w:p>
        </w:tc>
        <w:tc>
          <w:tcPr>
            <w:tcW w:type="dxa" w:w="1900"/>
          </w:tcPr>
          <w:p>
            <w:r>
              <w:rPr>
                <w:b w:val="false"/>
                <w:bCs w:val="false"/>
              </w:rPr>
              <w:t xml:space="preserve">$2,373,136</w:t>
            </w:r>
          </w:p>
        </w:tc>
        <w:tc>
          <w:tcPr>
            <w:tcW w:type="dxa" w:w="1900"/>
          </w:tcPr>
          <w:p>
            <w:r>
              <w:rPr>
                <w:b w:val="false"/>
                <w:bCs w:val="false"/>
              </w:rPr>
              <w:t xml:space="preserve">3.50%</w:t>
            </w:r>
          </w:p>
        </w:tc>
      </w:tr>
      <w:tr>
        <w:tc>
          <w:tcPr>
            <w:tcW w:type="dxa" w:w="3200"/>
          </w:tcPr>
          <w:p>
            <w:r>
              <w:rPr>
                <w:b w:val="false"/>
                <w:bCs w:val="false"/>
              </w:rPr>
              <w:t xml:space="preserve">Moving Average (4-week)</w:t>
            </w:r>
          </w:p>
        </w:tc>
        <w:tc>
          <w:tcPr>
            <w:tcW w:type="dxa" w:w="1900"/>
          </w:tcPr>
          <w:p>
            <w:r>
              <w:rPr>
                <w:b w:val="false"/>
                <w:bCs w:val="false"/>
              </w:rPr>
              <w:t xml:space="preserve">$1,668,903</w:t>
            </w:r>
          </w:p>
        </w:tc>
        <w:tc>
          <w:tcPr>
            <w:tcW w:type="dxa" w:w="1900"/>
          </w:tcPr>
          <w:p>
            <w:r>
              <w:rPr>
                <w:b w:val="false"/>
                <w:bCs w:val="false"/>
              </w:rPr>
              <w:t xml:space="preserve">$1,964,434</w:t>
            </w:r>
          </w:p>
        </w:tc>
        <w:tc>
          <w:tcPr>
            <w:tcW w:type="dxa" w:w="1900"/>
          </w:tcPr>
          <w:p>
            <w:r>
              <w:rPr>
                <w:b w:val="false"/>
                <w:bCs w:val="false"/>
              </w:rPr>
              <w:t xml:space="preserve">3.61%</w:t>
            </w:r>
          </w:p>
        </w:tc>
      </w:tr>
      <w:tr>
        <w:tc>
          <w:tcPr>
            <w:tcW w:type="dxa" w:w="3200"/>
          </w:tcPr>
          <w:p>
            <w:r>
              <w:rPr>
                <w:b w:val="false"/>
                <w:bCs w:val="false"/>
              </w:rPr>
              <w:t xml:space="preserve">ARIMA(1,0,0)</w:t>
            </w:r>
          </w:p>
        </w:tc>
        <w:tc>
          <w:tcPr>
            <w:tcW w:type="dxa" w:w="1900"/>
          </w:tcPr>
          <w:p>
            <w:r>
              <w:rPr>
                <w:b w:val="false"/>
                <w:bCs w:val="false"/>
              </w:rPr>
              <w:t xml:space="preserve">$1,489,386</w:t>
            </w:r>
          </w:p>
        </w:tc>
        <w:tc>
          <w:tcPr>
            <w:tcW w:type="dxa" w:w="1900"/>
          </w:tcPr>
          <w:p>
            <w:r>
              <w:rPr>
                <w:b w:val="false"/>
                <w:bCs w:val="false"/>
              </w:rPr>
              <w:t xml:space="preserve">$1,954,308</w:t>
            </w:r>
          </w:p>
        </w:tc>
        <w:tc>
          <w:tcPr>
            <w:tcW w:type="dxa" w:w="1900"/>
          </w:tcPr>
          <w:p>
            <w:r>
              <w:rPr>
                <w:b w:val="false"/>
                <w:bCs w:val="false"/>
              </w:rPr>
              <w:t xml:space="preserve">3.25%</w:t>
            </w:r>
          </w:p>
        </w:tc>
      </w:tr>
      <w:tr>
        <w:tc>
          <w:tcPr>
            <w:tcW w:type="dxa" w:w="3200"/>
          </w:tcPr>
          <w:p>
            <w:r>
              <w:rPr>
                <w:b/>
                <w:bCs/>
              </w:rPr>
              <w:t xml:space="preserve">SARIMA(0,0,0)(1,0,0,52)</w:t>
            </w:r>
          </w:p>
        </w:tc>
        <w:tc>
          <w:tcPr>
            <w:tcW w:type="dxa" w:w="1900"/>
          </w:tcPr>
          <w:p>
            <w:r>
              <w:rPr>
                <w:b w:val="false"/>
                <w:bCs w:val="false"/>
              </w:rPr>
              <w:t xml:space="preserve">$1,063,362</w:t>
            </w:r>
          </w:p>
        </w:tc>
        <w:tc>
          <w:tcPr>
            <w:tcW w:type="dxa" w:w="1900"/>
          </w:tcPr>
          <w:p>
            <w:r>
              <w:rPr>
                <w:b w:val="false"/>
                <w:bCs w:val="false"/>
              </w:rPr>
              <w:t xml:space="preserve">$1,297,291</w:t>
            </w:r>
          </w:p>
        </w:tc>
        <w:tc>
          <w:tcPr>
            <w:tcW w:type="dxa" w:w="1900"/>
          </w:tcPr>
          <w:p>
            <w:r>
              <w:rPr>
                <w:b w:val="false"/>
                <w:bCs w:val="false"/>
              </w:rPr>
              <w:t xml:space="preserve">2.28%</w:t>
            </w:r>
          </w:p>
        </w:tc>
      </w:tr>
      <w:tr>
        <w:tc>
          <w:tcPr>
            <w:tcW w:type="dxa" w:w="3200"/>
          </w:tcPr>
          <w:p>
            <w:r>
              <w:rPr>
                <w:b w:val="false"/>
                <w:bCs w:val="false"/>
              </w:rPr>
              <w:t xml:space="preserve">Prophet</w:t>
            </w:r>
          </w:p>
        </w:tc>
        <w:tc>
          <w:tcPr>
            <w:tcW w:type="dxa" w:w="1900"/>
          </w:tcPr>
          <w:p>
            <w:r>
              <w:rPr>
                <w:b w:val="false"/>
                <w:bCs w:val="false"/>
              </w:rPr>
              <w:t xml:space="preserve">$1,179,925</w:t>
            </w:r>
          </w:p>
        </w:tc>
        <w:tc>
          <w:tcPr>
            <w:tcW w:type="dxa" w:w="1900"/>
          </w:tcPr>
          <w:p>
            <w:r>
              <w:rPr>
                <w:b w:val="false"/>
                <w:bCs w:val="false"/>
              </w:rPr>
              <w:t xml:space="preserve">$1,508,892</w:t>
            </w:r>
          </w:p>
        </w:tc>
        <w:tc>
          <w:tcPr>
            <w:tcW w:type="dxa" w:w="1900"/>
          </w:tcPr>
          <w:p>
            <w:r>
              <w:rPr>
                <w:b w:val="false"/>
                <w:bCs w:val="false"/>
              </w:rPr>
              <w:t xml:space="preserve">2.53%</w:t>
            </w:r>
          </w:p>
        </w:tc>
      </w:tr>
      <w:tr>
        <w:tc>
          <w:tcPr>
            <w:tcW w:type="dxa" w:w="3200"/>
          </w:tcPr>
          <w:p>
            <w:r>
              <w:rPr>
                <w:b w:val="false"/>
                <w:bCs w:val="false"/>
              </w:rPr>
              <w:t xml:space="preserve">XGBoost</w:t>
            </w:r>
          </w:p>
        </w:tc>
        <w:tc>
          <w:tcPr>
            <w:tcW w:type="dxa" w:w="1900"/>
          </w:tcPr>
          <w:p>
            <w:r>
              <w:rPr>
                <w:b w:val="false"/>
                <w:bCs w:val="false"/>
              </w:rPr>
              <w:t xml:space="preserve">$1,173,440</w:t>
            </w:r>
          </w:p>
        </w:tc>
        <w:tc>
          <w:tcPr>
            <w:tcW w:type="dxa" w:w="1900"/>
          </w:tcPr>
          <w:p>
            <w:r>
              <w:rPr>
                <w:b w:val="false"/>
                <w:bCs w:val="false"/>
              </w:rPr>
              <w:t xml:space="preserve">$1,538,661</w:t>
            </w:r>
          </w:p>
        </w:tc>
        <w:tc>
          <w:tcPr>
            <w:tcW w:type="dxa" w:w="1900"/>
          </w:tcPr>
          <w:p>
            <w:r>
              <w:rPr>
                <w:b w:val="false"/>
                <w:bCs w:val="false"/>
              </w:rPr>
              <w:t xml:space="preserve">2.51%</w:t>
            </w:r>
          </w:p>
        </w:tc>
      </w:tr>
      <w:tr>
        <w:tc>
          <w:tcPr>
            <w:tcW w:type="dxa" w:w="3200"/>
          </w:tcPr>
          <w:p>
            <w:r>
              <w:rPr>
                <w:b w:val="false"/>
                <w:bCs w:val="false"/>
              </w:rPr>
              <w:t xml:space="preserve">LightGBM</w:t>
            </w:r>
          </w:p>
        </w:tc>
        <w:tc>
          <w:tcPr>
            <w:tcW w:type="dxa" w:w="1900"/>
          </w:tcPr>
          <w:p>
            <w:r>
              <w:rPr>
                <w:b w:val="false"/>
                <w:bCs w:val="false"/>
              </w:rPr>
              <w:t xml:space="preserve">$1,226,886</w:t>
            </w:r>
          </w:p>
        </w:tc>
        <w:tc>
          <w:tcPr>
            <w:tcW w:type="dxa" w:w="1900"/>
          </w:tcPr>
          <w:p>
            <w:r>
              <w:rPr>
                <w:b w:val="false"/>
                <w:bCs w:val="false"/>
              </w:rPr>
              <w:t xml:space="preserve">$1,816,443</w:t>
            </w:r>
          </w:p>
        </w:tc>
        <w:tc>
          <w:tcPr>
            <w:tcW w:type="dxa" w:w="1900"/>
          </w:tcPr>
          <w:p>
            <w:r>
              <w:rPr>
                <w:b w:val="false"/>
                <w:bCs w:val="false"/>
              </w:rPr>
              <w:t xml:space="preserve">2.60%</w:t>
            </w:r>
          </w:p>
        </w:tc>
      </w:tr>
    </w:tbl>
    <w:p>
      <w:pPr>
        <w:spacing w:after="200"/>
      </w:pPr>
    </w:p>
    <w:p>
      <w:pPr>
        <w:pStyle w:val="Heading2"/>
        <w:spacing w:after="120" w:before="240"/>
      </w:pPr>
      <w:r>
        <w:t xml:space="preserve">Why SARIMA won</w:t>
      </w:r>
    </w:p>
    <w:p>
      <w:pPr>
        <w:spacing w:after="160"/>
      </w:pPr>
      <w:r>
        <w:t xml:space="preserve">The seasonal AR(52) term is really just SARIMA looking at what happened around this time last year and weighting that heavily, and that lines up with what's actually driving this series. Plain ARIMA had no way to do that, it only looks at last week, so its forecast basically flattens out into a nearly constant line over the test period. The ML models could theoretically learn something similar, but with only 73 rows of training data, they never got the chance to fully use that flexibility the way a bigger dataset would let them.</w:t>
      </w:r>
    </w:p>
    <w:p>
      <w:pPr>
        <w:pStyle w:val="Heading2"/>
        <w:spacing w:after="120" w:before="240"/>
      </w:pPr>
      <w:r>
        <w:t xml:space="preserve">Why the ML models fell short of expectations</w:t>
      </w:r>
    </w:p>
    <w:p>
      <w:pPr>
        <w:spacing w:after="160"/>
      </w:pPr>
      <w:r>
        <w:t xml:space="preserve">It's tempting to expect XGBoost or LightGBM to win by default, but they didn't here, and that's a real finding worth sitting with rather than a disappointment to explain away. Tree-based models need enough data to actually find and trust nonlinear patterns, and 73 rows just isn't much runway for that. What's genuinely reassuring, though, is that XGBoost's feature importance output put Sales_lag52 miles ahead of everything else it had access to, meaning it landed on the same insight SARIMA was built around, just less efficiently.</w:t>
      </w:r>
    </w:p>
    <w:p>
      <w:pPr>
        <w:pStyle w:val="Heading1"/>
        <w:spacing w:after="150" w:before="300"/>
      </w:pPr>
      <w:r>
        <w:t xml:space="preserve">Limitations</w:t>
      </w:r>
    </w:p>
    <w:p>
      <w:pPr>
        <w:pStyle w:val="ListParagraph"/>
        <w:numPr>
          <w:ilvl w:val="0"/>
          <w:numId w:val="2"/>
        </w:numPr>
        <w:spacing w:after="100"/>
      </w:pPr>
      <w:r>
        <w:t xml:space="preserve">The test window (2012-06-29 to 2012-10-26) doesn't include a Thanksgiving or Christmas week, since the data runs out in late October 2012. So every number above is probably a bit optimistic, real-world error during the holiday rush is likely higher than what's reported here. The closest thing to evidence on that is cross-validation Fold 1, which happened to land on a holiday cycle and is the best signal available on how these models handle that kind of volatility.</w:t>
      </w:r>
    </w:p>
    <w:p>
      <w:pPr>
        <w:pStyle w:val="ListParagraph"/>
        <w:numPr>
          <w:ilvl w:val="0"/>
          <w:numId w:val="2"/>
        </w:numPr>
        <w:spacing w:after="100"/>
      </w:pPr>
      <w:r>
        <w:t xml:space="preserve">Needing 52 weeks of lagged history before a row could be used dropped the workable dataset down to 91 rows, only about 1.4 full seasonal cycles. That's thin for any model trying to learn a yearly pattern, SARIMA included.</w:t>
      </w:r>
    </w:p>
    <w:p>
      <w:pPr>
        <w:pStyle w:val="ListParagraph"/>
        <w:numPr>
          <w:ilvl w:val="0"/>
          <w:numId w:val="2"/>
        </w:numPr>
        <w:spacing w:after="100"/>
      </w:pPr>
      <w:r>
        <w:t xml:space="preserve">The holiday signal was kept intentionally simple, one flag, one label, even though Thanksgiving pushes sales up and Christmas week pulls them down. Blending two opposite effects into a single signal was a conscious call made early on to keep scope manageable, and it probably cost Prophet some accuracy in particular, since it leans more heavily on that signal than the other models do.</w:t>
      </w:r>
    </w:p>
    <w:p>
      <w:pPr>
        <w:pStyle w:val="ListParagraph"/>
        <w:numPr>
          <w:ilvl w:val="0"/>
          <w:numId w:val="2"/>
        </w:numPr>
        <w:spacing w:after="100"/>
      </w:pPr>
      <w:r>
        <w:t xml:space="preserve">Both ARIMA and SARIMA threw numerical warnings about near-singular covariance matrices while fitting, a sign of a small sample stretched thin against model complexity. Simpler versions of each were chosen in response, prioritizing a model that's stable and explainable over one that scores a fraction of a point better on paper.</w:t>
      </w:r>
    </w:p>
    <w:p>
      <w:pPr>
        <w:pStyle w:val="Heading1"/>
        <w:spacing w:after="150" w:before="300"/>
      </w:pPr>
      <w:r>
        <w:t xml:space="preserve">Business Recommendations</w:t>
      </w:r>
    </w:p>
    <w:p>
      <w:pPr>
        <w:pStyle w:val="ListParagraph"/>
        <w:numPr>
          <w:ilvl w:val="0"/>
          <w:numId w:val="2"/>
        </w:numPr>
        <w:spacing w:after="100"/>
      </w:pPr>
      <w:r>
        <w:t xml:space="preserve">Use SARIMA(0,0,0)(1,0,0,52) as the go-to model for weekly sales planning, it beat every other model on every metric tested.</w:t>
      </w:r>
    </w:p>
    <w:p>
      <w:pPr>
        <w:pStyle w:val="ListParagraph"/>
        <w:numPr>
          <w:ilvl w:val="0"/>
          <w:numId w:val="2"/>
        </w:numPr>
        <w:spacing w:after="100"/>
      </w:pPr>
      <w:r>
        <w:t xml:space="preserve">Build in extra margin around Thanksgiving and Christmas forecasts specifically. None of these models were actually tested against a real holiday period, so treat that stretch of the calendar as higher-risk than the reported accuracy numbers suggest.</w:t>
      </w:r>
    </w:p>
    <w:p>
      <w:pPr>
        <w:pStyle w:val="ListParagraph"/>
        <w:numPr>
          <w:ilvl w:val="0"/>
          <w:numId w:val="2"/>
        </w:numPr>
        <w:spacing w:after="100"/>
      </w:pPr>
      <w:r>
        <w:t xml:space="preserve">Revisit the holiday feature if Q4 forecasts start missing in practice, splitting Thanksgiving and Christmas into separate signals is a natural next step, just not one this phase of the project needed to take on.</w:t>
      </w:r>
    </w:p>
    <w:p>
      <w:pPr>
        <w:pStyle w:val="ListParagraph"/>
        <w:numPr>
          <w:ilvl w:val="0"/>
          <w:numId w:val="2"/>
        </w:numPr>
        <w:spacing w:after="100"/>
      </w:pPr>
      <w:r>
        <w:t xml:space="preserve">Hold off on scaling into more complex ML forecasting (store-level or department-level, for instance) until there's more historical data to support it. The complexity is worth pursuing eventually, just not yet.</w:t>
      </w:r>
    </w:p>
    <w:p>
      <w:pPr>
        <w:pStyle w:val="ListParagraph"/>
        <w:numPr>
          <w:ilvl w:val="0"/>
          <w:numId w:val="2"/>
        </w:numPr>
        <w:spacing w:after="100"/>
      </w:pPr>
      <w:r>
        <w:t xml:space="preserve">Let the feature importance results guide where to spend effort on data collection. Sales_lag52 mattered far more than CPI, unemployment, or the holiday flag once it was in the mix, so there's not much value in chasing more macroeconomic data before addressing that.</w:t>
      </w:r>
    </w:p>
    <w:p>
      <w:pPr>
        <w:pStyle w:val="Heading1"/>
        <w:spacing w:after="150" w:before="300"/>
      </w:pPr>
      <w:r>
        <w:t xml:space="preserve">Future Work</w:t>
      </w:r>
    </w:p>
    <w:p>
      <w:pPr>
        <w:pStyle w:val="ListParagraph"/>
        <w:numPr>
          <w:ilvl w:val="0"/>
          <w:numId w:val="2"/>
        </w:numPr>
        <w:spacing w:after="100"/>
      </w:pPr>
      <w:r>
        <w:t xml:space="preserve">Pull in more recent history so holiday-period accuracy can actually be measured, not just estimated from cross-validation.</w:t>
      </w:r>
    </w:p>
    <w:p>
      <w:pPr>
        <w:pStyle w:val="ListParagraph"/>
        <w:numPr>
          <w:ilvl w:val="0"/>
          <w:numId w:val="2"/>
        </w:numPr>
        <w:spacing w:after="100"/>
      </w:pPr>
      <w:r>
        <w:t xml:space="preserve">Split Thanksgiving and Christmas into their own signals instead of one blended holiday flag.</w:t>
      </w:r>
    </w:p>
    <w:p>
      <w:pPr>
        <w:pStyle w:val="ListParagraph"/>
        <w:numPr>
          <w:ilvl w:val="0"/>
          <w:numId w:val="2"/>
        </w:numPr>
        <w:spacing w:after="100"/>
      </w:pPr>
      <w:r>
        <w:t xml:space="preserve">Look at store- or region-level forecasts, national aggregation is almost certainly hiding real differences underneath.</w:t>
      </w:r>
    </w:p>
    <w:p>
      <w:pPr>
        <w:pStyle w:val="ListParagraph"/>
        <w:numPr>
          <w:ilvl w:val="0"/>
          <w:numId w:val="2"/>
        </w:numPr>
        <w:spacing w:after="100"/>
      </w:pPr>
      <w:r>
        <w:t xml:space="preserve">Now that there's a solid baseline and a working evaluation setup, it's worth running proper hyperparameter tuning on XGBoost and LightGBM to see how much more they have to give.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2026-08-11T20:15:34.793Z</dcterms:created>
  <dcterms:modified xsi:type="dcterms:W3CDTF">2026-08-11T20:15:34.810Z</dcterms:modified>
</cp:coreProperties>
</file>

<file path=docProps/custom.xml><?xml version="1.0" encoding="utf-8"?>
<Properties xmlns="http://schemas.openxmlformats.org/officeDocument/2006/custom-properties" xmlns:vt="http://schemas.openxmlformats.org/officeDocument/2006/docPropsVTypes"/>
</file>