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Insights and Recommendations: Vehicle Performance Analysis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The USA dominates vehicle manufacturing, contributing 62.23% of total production.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The Ford Pinto ranks as the top-performing vehicle in acceleration with a score of 99.1.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The Toyota Corolla stands out as the most fuel-efficient vehicle, achieving 137.5 MPG.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The Chevrolet Impala is the leader in horsepower, boasting 700 units.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Regional horsepower comparison shows a significant lead by the USA with 29,167 units, compared to Japan's 6,307 and Europe's 5,478.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Engine displacement analysis reveals the USA's vehicles have the largest cumulative displacement at 61,229.5 units, overshadowing Japan (8,114) and Europe (7,640).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For better fuel efficiency, consider adopting design practices similar to Japanese vehicles like the Toyota Corolla, which leads in MPG.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To compete globally, regions like Europe and Japan could focus on increasing horsepower while balancing fuel efficiency.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Manufacturers in the USA could explore optimizing engine displacement to enhance overall vehicle efficiency.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Further analysis of vehicles with high acceleration could guide improvements in safety features and handling.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Additional research into emerging technologies (e.g., hybrid and electric engines) could benefit manufacturers in all regions.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