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Insights and Recommendations on Mental Well-Being in a Remote Work Era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 Location and Mental Conditions: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Employees working remotely report higher anxiety, burnout, and depression compared to those in hybrid or onsite roles.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Hybrid workers seem to have better mental health, with a higher percentage reporting no mental conditions.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Hours Worked vs. Work-Life Balance: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Employees with higher weekly work hours report lower work-life balance ratings.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- Gender analysis shows that females and non-binary employees are more impacted in terms of work-life balance than males.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Satisfaction with Remote Work: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Only 33.5% of employees report being satisfied with remote work despite the availability of mental health resources.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Satisfaction levels are consistent across work locations (remote, hybrid, onsite), with a significant portion of employees reporting dissatisfaction.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Stress Levels and Work Hours: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Stress levels are highest among females and non-binary employees who work longer hours.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Males report comparatively lower stress for similar work hours.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Company Support by Job Role: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 Project Managers receive the highest company support for remote work, followed closely by Data Scientists.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Designers and Sales roles show less support, which could be linked to their job demands.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Industry-Wise Work-Life Balance: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Employees in the healthcare and IT industries report lower work-life balance ratings compared to those in education or finance sectors.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Mental Health Support for Remote Employees: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Introduce regular virtual counseling and mental health awareness sessions targeted at remote employees.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- Encourage hybrid work models as they appear to improve mental well-being.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Work-Life Balance Interventions: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- Monitor workloads to ensure employees do not exceed sustainable hours.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- Promote flexible work schedules, particularly for females and non-binary employees.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Enhance Remote Work Satisfaction: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- Increase access to mental health resources and provide clearer communication about these resources.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- Conduct employee feedback surveys to understand and address dissatisfaction with remote work.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Stress Management Programs: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- Implement stress management workshops focused on females and non-binary employees.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- Create mentorship programs to reduce work-related stress through peer support.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Equitable Support Across Job Roles: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- Review the distribution of support resources and ensure equal access for roles like Designers and Sales.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- Tailor resources to the unique needs of each job role.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Industry-Specific Policies: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- Healthcare and IT industries should prioritize initiatives to improve work-life balance, such as additional leave days or reduced workloads during peak periods.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- Foster a culture of breaks and downtime to reduce burnout.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