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Student Performance Analysis Insights and Recommendations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1. Attendance and Engagement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Insight: 73.79% of students consistently attend classes, but only 25.52% are always attentive.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Implication: Attendance positively impacts academic performance, but low engagement limits knowledge retention.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2. Student Grades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Insight: 40.92% of students scored below BB, highlighting a need for academic improvement.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Implication: Grades are a reliable indicator of academic challenges and should be addressed early.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3. Weekly Study Patterns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Insight: 84.83% of students prepare closest to exams, with only 13.79% studying consistently during the semester.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Implication: Consistent study habits are critical for sustained academic success.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4. Cumulative GPA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Insight: 37.93% of students have GPAs below 2.50, indicating a risk of underperformance.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Implication: Academic support should focus on students with low GPAs to improve outcomes.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5. Seminar Participation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Insight: 21.38% of students miss out on seminars, despite the majority recognizing their value.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Implication: Increased seminar attendance can enhance understanding and holistic development.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1. Improving Attendance and Engagement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Encourage interactive teaching methods to boost engagement.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Incentivize attendance through recognition or bonus points.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2. Supporting Low Performers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Provide extra tutoring or mentoring programs for students with grades below BB.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Use GPA as an early warning system to identify at-risk students.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3. Encouraging Regular Study Habits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Promote weekly assessments to encourage consistent preparation.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Offer workshops on time management and study techniques.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4. Optimizing Exam Preparation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Train students on effective long-term preparation strategies.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Provide regular feedback to track and motivate progress.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5. Leveraging Seminar Attendance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Make seminars mandatory or incentivize participation.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Link seminar content to course objectives to emphasize their relevance.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