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Insights and Recommendations on Social Media's Impact on Suicide Rates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Social Media Usage Trends: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Twitter usage is significantly higher than Facebook usage, with a total count of 13.88K compared to 7.66K.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Social media usage has steadily increased over the years for both platforms, with males showing slightly higher usage.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Suicide Rate Trends: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Suicide rates have shown a gradual decline over the years for both genders, although females have a consistently lower rate compared to males.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Gender Comparisons: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 Males have higher social media usage and suicide rates than females across all years.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The decline in suicide rates is more pronounced in males compared to females.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Correlation Insights: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There is a negative correlation between suicide rates and social media usage. As social media usage increases, suicide rates tend to decrease across both genders.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Gender-Specific Correlations: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For males, higher Twitter usage correlates with a noticeable reduction in suicide rates.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For females, the relationship is less pronounced but follows a similar trend.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Promote Positive Social Media Usage: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Develop programs that leverage social media as a tool for mental health support, especially for males who have higher engagement and suicide rates.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Targeted Campaigns: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Create gender-specific mental health awareness campaigns, focusing on promoting help-seeking behaviors and positive interactions on social media.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Monitor Content Quality: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- Collaborate with social media platforms to ensure content promotes mental well-being and discourages harmful behavior.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Community Support Initiatives: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 Encourage the use of social media for building online support communities, especially among males who are less likely to seek help offline.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Further Research: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Investigate other factors (e.g., economic or cultural influences) contributing to the observed trends, ensuring a holistic approach to addressing suicide rates.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Yearly Check-ins: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- Analyze trends annually to measure the impact of social media on mental health and adjust strategies accordingly.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