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200" w:after="200"/>
        <w:jc w:val="center"/>
      </w:pPr>
      <w:r>
        <w:rPr>
          <w:rFonts w:ascii="Calibri" w:hAnsi="Calibri"/>
          <w:b/>
          <w:i w:val="0"/>
          <w:color w:val="1F4D78"/>
          <w:sz w:val="60"/>
        </w:rPr>
        <w:t>Crisis Radar</w:t>
      </w:r>
    </w:p>
    <w:p>
      <w:pPr>
        <w:spacing w:after="360"/>
        <w:jc w:val="center"/>
      </w:pPr>
      <w:r>
        <w:rPr>
          <w:rFonts w:ascii="Calibri" w:hAnsi="Calibri"/>
          <w:b w:val="0"/>
          <w:i w:val="0"/>
          <w:color w:val="2E74B5"/>
          <w:sz w:val="30"/>
        </w:rPr>
        <w:t>Руководство пользователя и техническая методика</w:t>
      </w:r>
    </w:p>
    <w:p>
      <w:pPr>
        <w:spacing w:after="2200"/>
        <w:jc w:val="center"/>
      </w:pPr>
      <w:r>
        <w:rPr>
          <w:rFonts w:ascii="Calibri" w:hAnsi="Calibri"/>
          <w:b w:val="0"/>
          <w:i/>
          <w:color w:val="5A6574"/>
          <w:sz w:val="20"/>
        </w:rPr>
        <w:t>candidate-v10  •  scenario-fusion-v1  •  4 августа 2026</w:t>
      </w:r>
    </w:p>
    <w:p>
      <w:pPr>
        <w:jc w:val="center"/>
      </w:pPr>
      <w:r>
        <w:rPr>
          <w:rFonts w:ascii="Calibri" w:hAnsi="Calibri"/>
          <w:b/>
          <w:i w:val="0"/>
          <w:color w:val="19222F"/>
          <w:sz w:val="22"/>
        </w:rPr>
        <w:t>Проверяемая система раннего предупреждения — не гарантия кризиса и не команда на сделку</w:t>
      </w:r>
    </w:p>
    <w:p>
      <w:pPr>
        <w:sectPr>
          <w:headerReference w:type="default" r:id="rId9"/>
          <w:footerReference w:type="default" r:id="rId10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r>
        <w:rPr>
          <w:rFonts w:ascii="Calibri" w:hAnsi="Calibri"/>
          <w:b w:val="0"/>
          <w:i w:val="0"/>
          <w:color w:val="19222F"/>
          <w:sz w:val="22"/>
        </w:rPr>
        <w:t xml:space="preserve">Версия документа: 2026-08-04. Методика расчёта: </w:t>
      </w:r>
      <w:r>
        <w:rPr>
          <w:rFonts w:ascii="Menlo" w:hAnsi="Menlo"/>
          <w:b w:val="0"/>
          <w:i w:val="0"/>
          <w:color w:val="1F4D78"/>
          <w:sz w:val="20"/>
        </w:rPr>
        <w:t>candidate-v10</w:t>
      </w:r>
      <w:r>
        <w:rPr>
          <w:rFonts w:ascii="Calibri" w:hAnsi="Calibri"/>
          <w:b w:val="0"/>
          <w:i w:val="0"/>
          <w:color w:val="19222F"/>
          <w:sz w:val="22"/>
        </w:rPr>
        <w:t xml:space="preserve">, fusion: </w:t>
      </w:r>
      <w:r>
        <w:rPr>
          <w:rFonts w:ascii="Menlo" w:hAnsi="Menlo"/>
          <w:b w:val="0"/>
          <w:i w:val="0"/>
          <w:color w:val="1F4D78"/>
          <w:sz w:val="20"/>
        </w:rPr>
        <w:t>scenario-fusion-v1</w:t>
      </w:r>
      <w:r>
        <w:rPr>
          <w:rFonts w:ascii="Calibri" w:hAnsi="Calibri"/>
          <w:b w:val="0"/>
          <w:i w:val="0"/>
          <w:color w:val="19222F"/>
          <w:sz w:val="22"/>
        </w:rPr>
        <w:t>.</w:t>
      </w:r>
    </w:p>
    <w:p>
      <w:pPr>
        <w:pStyle w:val="Heading1"/>
      </w:pPr>
      <w:r>
        <w:t>Часть I. Если вы не разработчик</w:t>
      </w:r>
    </w:p>
    <w:p>
      <w:pPr>
        <w:pStyle w:val="Heading2"/>
      </w:pPr>
      <w:r>
        <w:t>Что делает радар</w:t>
      </w:r>
    </w:p>
    <w:p>
      <w:r>
        <w:rPr>
          <w:rFonts w:ascii="Calibri" w:hAnsi="Calibri"/>
          <w:b w:val="0"/>
          <w:i w:val="0"/>
          <w:color w:val="19222F"/>
          <w:sz w:val="22"/>
        </w:rPr>
        <w:t>Crisis Radar постоянно собирает официальные экономические показатели, рыночные данные и публикации регуляторов. Он ищет не «магическую цифру», а одновременное ухудшение нескольких независимых частей системы: экономики, кредита, ликвидности, рынков, сырья и криптоплечей.</w:t>
      </w:r>
    </w:p>
    <w:p>
      <w:r>
        <w:rPr>
          <w:rFonts w:ascii="Calibri" w:hAnsi="Calibri"/>
          <w:b w:val="0"/>
          <w:i w:val="0"/>
          <w:color w:val="19222F"/>
          <w:sz w:val="22"/>
        </w:rPr>
        <w:t>Радар не гарантирует кризис, дату падения или прибыль. Его задача — раньше ручного просмотра заметить подтверждённое ухудшение, показать причины и не скрыть отсутствие данных.</w:t>
      </w:r>
    </w:p>
    <w:p>
      <w:pPr>
        <w:pStyle w:val="Heading2"/>
      </w:pPr>
      <w:r>
        <w:t>Что смотреть каждый день</w:t>
      </w:r>
    </w:p>
    <w:p>
      <w:pPr>
        <w:pStyle w:val="ListNumber"/>
      </w:pPr>
      <w:r>
        <w:rPr>
          <w:rFonts w:ascii="Calibri" w:hAnsi="Calibri"/>
          <w:b w:val="0"/>
          <w:i w:val="0"/>
          <w:color w:val="19222F"/>
          <w:sz w:val="22"/>
        </w:rPr>
        <w:t xml:space="preserve"> </w:t>
      </w:r>
      <w:r>
        <w:rPr>
          <w:rFonts w:ascii="Calibri" w:hAnsi="Calibri"/>
          <w:b/>
          <w:i w:val="0"/>
          <w:color w:val="19222F"/>
          <w:sz w:val="22"/>
        </w:rPr>
        <w:t>Стадия рынка.</w:t>
      </w:r>
      <w:r>
        <w:rPr>
          <w:rFonts w:ascii="Calibri" w:hAnsi="Calibri"/>
          <w:b w:val="0"/>
          <w:i w:val="0"/>
          <w:color w:val="19222F"/>
          <w:sz w:val="22"/>
        </w:rPr>
        <w:t xml:space="preserve"> </w:t>
      </w:r>
      <w:r>
        <w:rPr>
          <w:rFonts w:ascii="Menlo" w:hAnsi="Menlo"/>
          <w:b w:val="0"/>
          <w:i w:val="0"/>
          <w:color w:val="1F4D78"/>
          <w:sz w:val="20"/>
        </w:rPr>
        <w:t>Стабильно → напряжение → предупреждение → подтверждение → кризис</w:t>
      </w:r>
      <w:r>
        <w:rPr>
          <w:rFonts w:ascii="Calibri" w:hAnsi="Calibri"/>
          <w:b w:val="0"/>
          <w:i w:val="0"/>
          <w:color w:val="19222F"/>
          <w:sz w:val="22"/>
        </w:rPr>
        <w:t xml:space="preserve">. Если важных данных мало, вместо стадии показывается </w:t>
      </w:r>
      <w:r>
        <w:rPr>
          <w:rFonts w:ascii="Menlo" w:hAnsi="Menlo"/>
          <w:b w:val="0"/>
          <w:i w:val="0"/>
          <w:color w:val="1F4D78"/>
          <w:sz w:val="20"/>
        </w:rPr>
        <w:t>Недостаточно данных</w:t>
      </w:r>
      <w:r>
        <w:rPr>
          <w:rFonts w:ascii="Calibri" w:hAnsi="Calibri"/>
          <w:b w:val="0"/>
          <w:i w:val="0"/>
          <w:color w:val="19222F"/>
          <w:sz w:val="22"/>
        </w:rPr>
        <w:t>.</w:t>
      </w:r>
    </w:p>
    <w:p>
      <w:pPr>
        <w:pStyle w:val="ListNumber"/>
      </w:pPr>
      <w:r>
        <w:rPr>
          <w:rFonts w:ascii="Calibri" w:hAnsi="Calibri"/>
          <w:b w:val="0"/>
          <w:i w:val="0"/>
          <w:color w:val="19222F"/>
          <w:sz w:val="22"/>
        </w:rPr>
        <w:t xml:space="preserve"> </w:t>
      </w:r>
      <w:r>
        <w:rPr>
          <w:rFonts w:ascii="Calibri" w:hAnsi="Calibri"/>
          <w:b/>
          <w:i w:val="0"/>
          <w:color w:val="19222F"/>
          <w:sz w:val="22"/>
        </w:rPr>
        <w:t>Надёжность данных.</w:t>
      </w:r>
      <w:r>
        <w:rPr>
          <w:rFonts w:ascii="Calibri" w:hAnsi="Calibri"/>
          <w:b w:val="0"/>
          <w:i w:val="0"/>
          <w:color w:val="19222F"/>
          <w:sz w:val="22"/>
        </w:rPr>
        <w:t xml:space="preserve"> Покрытие ниже 85% заметно помечается; ниже 70% числовая стадия скрывается.</w:t>
      </w:r>
    </w:p>
    <w:p>
      <w:pPr>
        <w:pStyle w:val="ListNumber"/>
      </w:pPr>
      <w:r>
        <w:rPr>
          <w:rFonts w:ascii="Calibri" w:hAnsi="Calibri"/>
          <w:b w:val="0"/>
          <w:i w:val="0"/>
          <w:color w:val="19222F"/>
          <w:sz w:val="22"/>
        </w:rPr>
        <w:t xml:space="preserve"> </w:t>
      </w:r>
      <w:r>
        <w:rPr>
          <w:rFonts w:ascii="Calibri" w:hAnsi="Calibri"/>
          <w:b/>
          <w:i w:val="0"/>
          <w:color w:val="19222F"/>
          <w:sz w:val="22"/>
        </w:rPr>
        <w:t>Изменения за 24 часа, 7 и 15 дней.</w:t>
      </w:r>
      <w:r>
        <w:rPr>
          <w:rFonts w:ascii="Calibri" w:hAnsi="Calibri"/>
          <w:b w:val="0"/>
          <w:i w:val="0"/>
          <w:color w:val="19222F"/>
          <w:sz w:val="22"/>
        </w:rPr>
        <w:t xml:space="preserve"> Это помогает отличить новый сдвиг от давно известного состояния.</w:t>
      </w:r>
    </w:p>
    <w:p>
      <w:pPr>
        <w:pStyle w:val="ListNumber"/>
      </w:pPr>
      <w:r>
        <w:rPr>
          <w:rFonts w:ascii="Calibri" w:hAnsi="Calibri"/>
          <w:b w:val="0"/>
          <w:i w:val="0"/>
          <w:color w:val="19222F"/>
          <w:sz w:val="22"/>
        </w:rPr>
        <w:t xml:space="preserve"> </w:t>
      </w:r>
      <w:r>
        <w:rPr>
          <w:rFonts w:ascii="Calibri" w:hAnsi="Calibri"/>
          <w:b/>
          <w:i w:val="0"/>
          <w:color w:val="19222F"/>
          <w:sz w:val="22"/>
        </w:rPr>
        <w:t>Сценарии.</w:t>
      </w:r>
      <w:r>
        <w:rPr>
          <w:rFonts w:ascii="Calibri" w:hAnsi="Calibri"/>
          <w:b w:val="0"/>
          <w:i w:val="0"/>
          <w:color w:val="19222F"/>
          <w:sz w:val="22"/>
        </w:rPr>
        <w:t xml:space="preserve"> У каждого есть сила 0–100 и число независимых подтверждений. Это не вероятность.</w:t>
      </w:r>
    </w:p>
    <w:p>
      <w:pPr>
        <w:pStyle w:val="ListNumber"/>
      </w:pPr>
      <w:r>
        <w:rPr>
          <w:rFonts w:ascii="Calibri" w:hAnsi="Calibri"/>
          <w:b w:val="0"/>
          <w:i w:val="0"/>
          <w:color w:val="19222F"/>
          <w:sz w:val="22"/>
        </w:rPr>
        <w:t xml:space="preserve"> </w:t>
      </w:r>
      <w:r>
        <w:rPr>
          <w:rFonts w:ascii="Calibri" w:hAnsi="Calibri"/>
          <w:b/>
          <w:i w:val="0"/>
          <w:color w:val="19222F"/>
          <w:sz w:val="22"/>
        </w:rPr>
        <w:t>Критические события.</w:t>
      </w:r>
      <w:r>
        <w:rPr>
          <w:rFonts w:ascii="Calibri" w:hAnsi="Calibri"/>
          <w:b w:val="0"/>
          <w:i w:val="0"/>
          <w:color w:val="19222F"/>
          <w:sz w:val="22"/>
        </w:rPr>
        <w:t xml:space="preserve"> Официальные или подтверждённые несколькими источниками события. Один непроверенный заголовок не объявляет кризис.</w:t>
      </w:r>
    </w:p>
    <w:p>
      <w:pPr>
        <w:pStyle w:val="ListNumber"/>
      </w:pPr>
      <w:r>
        <w:rPr>
          <w:rFonts w:ascii="Calibri" w:hAnsi="Calibri"/>
          <w:b w:val="0"/>
          <w:i w:val="0"/>
          <w:color w:val="19222F"/>
          <w:sz w:val="22"/>
        </w:rPr>
        <w:t xml:space="preserve"> </w:t>
      </w:r>
      <w:r>
        <w:rPr>
          <w:rFonts w:ascii="Calibri" w:hAnsi="Calibri"/>
          <w:b/>
          <w:i w:val="0"/>
          <w:color w:val="19222F"/>
          <w:sz w:val="22"/>
        </w:rPr>
        <w:t>Возможности.</w:t>
      </w:r>
      <w:r>
        <w:rPr>
          <w:rFonts w:ascii="Calibri" w:hAnsi="Calibri"/>
          <w:b w:val="0"/>
          <w:i w:val="0"/>
          <w:color w:val="19222F"/>
          <w:sz w:val="22"/>
        </w:rPr>
        <w:t xml:space="preserve"> Только условные </w:t>
      </w:r>
      <w:r>
        <w:rPr>
          <w:rFonts w:ascii="Menlo" w:hAnsi="Menlo"/>
          <w:b w:val="0"/>
          <w:i w:val="0"/>
          <w:color w:val="1F4D78"/>
          <w:sz w:val="20"/>
        </w:rPr>
        <w:t>long / short / hedge / wait</w:t>
      </w:r>
      <w:r>
        <w:rPr>
          <w:rFonts w:ascii="Calibri" w:hAnsi="Calibri"/>
          <w:b w:val="0"/>
          <w:i w:val="0"/>
          <w:color w:val="19222F"/>
          <w:sz w:val="22"/>
        </w:rPr>
        <w:t>. Без свежей котировки и минимум пяти похожих исторических эпизодов направленная идея и диапазон не показываются.</w:t>
      </w:r>
    </w:p>
    <w:p>
      <w:pPr>
        <w:pStyle w:val="Heading2"/>
      </w:pPr>
      <w:r>
        <w:t>Как читать силу сценария</w:t>
      </w:r>
    </w:p>
    <w:p>
      <w:r>
        <w:rPr>
          <w:rFonts w:ascii="Calibri" w:hAnsi="Calibri"/>
          <w:b w:val="0"/>
          <w:i w:val="0"/>
          <w:color w:val="19222F"/>
          <w:sz w:val="22"/>
        </w:rPr>
        <w:t>Сила 0–100 отвечает на вопрос: «Насколько широко и сильно этот сценарий подтверждён сейчас?» Она складывается из:</w:t>
      </w:r>
    </w:p>
    <w:p>
      <w:pPr>
        <w:pStyle w:val="ListBullet"/>
      </w:pPr>
      <w:r>
        <w:rPr>
          <w:rFonts w:ascii="Calibri" w:hAnsi="Calibri"/>
          <w:b w:val="0"/>
          <w:i w:val="0"/>
          <w:color w:val="19222F"/>
          <w:sz w:val="22"/>
        </w:rPr>
        <w:t xml:space="preserve"> числовых уровней — максимум 50;</w:t>
      </w:r>
    </w:p>
    <w:p>
      <w:pPr>
        <w:pStyle w:val="ListBullet"/>
      </w:pPr>
      <w:r>
        <w:rPr>
          <w:rFonts w:ascii="Calibri" w:hAnsi="Calibri"/>
          <w:b w:val="0"/>
          <w:i w:val="0"/>
          <w:color w:val="19222F"/>
          <w:sz w:val="22"/>
        </w:rPr>
        <w:t xml:space="preserve"> трендов и смены режима — максимум 20;</w:t>
      </w:r>
    </w:p>
    <w:p>
      <w:pPr>
        <w:pStyle w:val="ListBullet"/>
      </w:pPr>
      <w:r>
        <w:rPr>
          <w:rFonts w:ascii="Calibri" w:hAnsi="Calibri"/>
          <w:b w:val="0"/>
          <w:i w:val="0"/>
          <w:color w:val="19222F"/>
          <w:sz w:val="22"/>
        </w:rPr>
        <w:t xml:space="preserve"> распространения стресса между рынками — максимум 10;</w:t>
      </w:r>
    </w:p>
    <w:p>
      <w:pPr>
        <w:pStyle w:val="ListBullet"/>
      </w:pPr>
      <w:r>
        <w:rPr>
          <w:rFonts w:ascii="Calibri" w:hAnsi="Calibri"/>
          <w:b w:val="0"/>
          <w:i w:val="0"/>
          <w:color w:val="19222F"/>
          <w:sz w:val="22"/>
        </w:rPr>
        <w:t xml:space="preserve"> подтверждённых событий — максимум 20.</w:t>
      </w:r>
    </w:p>
    <w:p>
      <w:r>
        <w:rPr>
          <w:rFonts w:ascii="Calibri" w:hAnsi="Calibri"/>
          <w:b w:val="0"/>
          <w:i w:val="0"/>
          <w:color w:val="19222F"/>
          <w:sz w:val="22"/>
        </w:rPr>
        <w:t xml:space="preserve">Новость не может одна дать статус </w:t>
      </w:r>
      <w:r>
        <w:rPr>
          <w:rFonts w:ascii="Menlo" w:hAnsi="Menlo"/>
          <w:b w:val="0"/>
          <w:i w:val="0"/>
          <w:color w:val="1F4D78"/>
          <w:sz w:val="20"/>
        </w:rPr>
        <w:t>подтверждён</w:t>
      </w:r>
      <w:r>
        <w:rPr>
          <w:rFonts w:ascii="Calibri" w:hAnsi="Calibri"/>
          <w:b w:val="0"/>
          <w:i w:val="0"/>
          <w:color w:val="19222F"/>
          <w:sz w:val="22"/>
        </w:rPr>
        <w:t>. Для него нужны якорный канал и минимум два независимых числовых кластера.</w:t>
      </w:r>
    </w:p>
    <w:p>
      <w:pPr>
        <w:pStyle w:val="Heading2"/>
      </w:pPr>
      <w:r>
        <w:t>Почему вероятность иногда отсутствует</w:t>
      </w:r>
    </w:p>
    <w:p>
      <w:r>
        <w:rPr>
          <w:rFonts w:ascii="Calibri" w:hAnsi="Calibri"/>
          <w:b w:val="0"/>
          <w:i w:val="0"/>
          <w:color w:val="19222F"/>
          <w:sz w:val="22"/>
        </w:rPr>
        <w:t xml:space="preserve">Процент вероятности показывается только для конкретного сценария и горизонта после строгой исторической проверки. Нужно минимум 30 независимых событий, минимум 5 событий в holdout, результат лучше базовой частоты, ненулевой recall, приемлемые ложные тревоги и устойчивость на соседних порогах. Пока gate не пройден, значение честно остаётся </w:t>
      </w:r>
      <w:r>
        <w:rPr>
          <w:rFonts w:ascii="Menlo" w:hAnsi="Menlo"/>
          <w:b w:val="0"/>
          <w:i w:val="0"/>
          <w:color w:val="1F4D78"/>
          <w:sz w:val="20"/>
        </w:rPr>
        <w:t>null</w:t>
      </w:r>
      <w:r>
        <w:rPr>
          <w:rFonts w:ascii="Calibri" w:hAnsi="Calibri"/>
          <w:b w:val="0"/>
          <w:i w:val="0"/>
          <w:color w:val="19222F"/>
          <w:sz w:val="22"/>
        </w:rPr>
        <w:t>.</w:t>
      </w:r>
    </w:p>
    <w:p>
      <w:pPr>
        <w:pStyle w:val="Heading2"/>
      </w:pPr>
      <w:r>
        <w:t>Когда нельзя доверять выводу без ручной проверки</w:t>
      </w:r>
    </w:p>
    <w:p>
      <w:pPr>
        <w:pStyle w:val="ListBullet"/>
      </w:pPr>
      <w:r>
        <w:rPr>
          <w:rFonts w:ascii="Calibri" w:hAnsi="Calibri"/>
          <w:b w:val="0"/>
          <w:i w:val="0"/>
          <w:color w:val="19222F"/>
          <w:sz w:val="22"/>
        </w:rPr>
        <w:t xml:space="preserve"> покрытие </w:t>
      </w:r>
      <w:r>
        <w:rPr>
          <w:rFonts w:ascii="Menlo" w:hAnsi="Menlo"/>
          <w:b w:val="0"/>
          <w:i w:val="0"/>
          <w:color w:val="1F4D78"/>
          <w:sz w:val="20"/>
        </w:rPr>
        <w:t>degraded</w:t>
      </w:r>
      <w:r>
        <w:rPr>
          <w:rFonts w:ascii="Calibri" w:hAnsi="Calibri"/>
          <w:b w:val="0"/>
          <w:i w:val="0"/>
          <w:color w:val="19222F"/>
          <w:sz w:val="22"/>
        </w:rPr>
        <w:t xml:space="preserve"> или </w:t>
      </w:r>
      <w:r>
        <w:rPr>
          <w:rFonts w:ascii="Menlo" w:hAnsi="Menlo"/>
          <w:b w:val="0"/>
          <w:i w:val="0"/>
          <w:color w:val="1F4D78"/>
          <w:sz w:val="20"/>
        </w:rPr>
        <w:t>insufficient_data</w:t>
      </w:r>
      <w:r>
        <w:rPr>
          <w:rFonts w:ascii="Calibri" w:hAnsi="Calibri"/>
          <w:b w:val="0"/>
          <w:i w:val="0"/>
          <w:color w:val="19222F"/>
          <w:sz w:val="22"/>
        </w:rPr>
        <w:t>;</w:t>
      </w:r>
    </w:p>
    <w:p>
      <w:pPr>
        <w:pStyle w:val="ListBullet"/>
      </w:pPr>
      <w:r>
        <w:rPr>
          <w:rFonts w:ascii="Calibri" w:hAnsi="Calibri"/>
          <w:b w:val="0"/>
          <w:i w:val="0"/>
          <w:color w:val="19222F"/>
          <w:sz w:val="22"/>
        </w:rPr>
        <w:t xml:space="preserve"> событие имеет статус </w:t>
      </w:r>
      <w:r>
        <w:rPr>
          <w:rFonts w:ascii="Menlo" w:hAnsi="Menlo"/>
          <w:b w:val="0"/>
          <w:i w:val="0"/>
          <w:color w:val="1F4D78"/>
          <w:sz w:val="20"/>
        </w:rPr>
        <w:t>discovery</w:t>
      </w:r>
      <w:r>
        <w:rPr>
          <w:rFonts w:ascii="Calibri" w:hAnsi="Calibri"/>
          <w:b w:val="0"/>
          <w:i w:val="0"/>
          <w:color w:val="19222F"/>
          <w:sz w:val="22"/>
        </w:rPr>
        <w:t xml:space="preserve"> и только один источник;</w:t>
      </w:r>
    </w:p>
    <w:p>
      <w:pPr>
        <w:pStyle w:val="ListBullet"/>
      </w:pPr>
      <w:r>
        <w:rPr>
          <w:rFonts w:ascii="Calibri" w:hAnsi="Calibri"/>
          <w:b w:val="0"/>
          <w:i w:val="0"/>
          <w:color w:val="19222F"/>
          <w:sz w:val="22"/>
        </w:rPr>
        <w:t xml:space="preserve"> сценарий имеет </w:t>
      </w:r>
      <w:r>
        <w:rPr>
          <w:rFonts w:ascii="Menlo" w:hAnsi="Menlo"/>
          <w:b w:val="0"/>
          <w:i w:val="0"/>
          <w:color w:val="1F4D78"/>
          <w:sz w:val="20"/>
        </w:rPr>
        <w:t>watch</w:t>
      </w:r>
      <w:r>
        <w:rPr>
          <w:rFonts w:ascii="Calibri" w:hAnsi="Calibri"/>
          <w:b w:val="0"/>
          <w:i w:val="0"/>
          <w:color w:val="19222F"/>
          <w:sz w:val="22"/>
        </w:rPr>
        <w:t xml:space="preserve"> или низкую надёжность;</w:t>
      </w:r>
    </w:p>
    <w:p>
      <w:pPr>
        <w:pStyle w:val="ListBullet"/>
      </w:pPr>
      <w:r>
        <w:rPr>
          <w:rFonts w:ascii="Calibri" w:hAnsi="Calibri"/>
          <w:b w:val="0"/>
          <w:i w:val="0"/>
          <w:color w:val="19222F"/>
          <w:sz w:val="22"/>
        </w:rPr>
        <w:t xml:space="preserve"> возможность показывает </w:t>
      </w:r>
      <w:r>
        <w:rPr>
          <w:rFonts w:ascii="Menlo" w:hAnsi="Menlo"/>
          <w:b w:val="0"/>
          <w:i w:val="0"/>
          <w:color w:val="1F4D78"/>
          <w:sz w:val="20"/>
        </w:rPr>
        <w:t>wait</w:t>
      </w:r>
      <w:r>
        <w:rPr>
          <w:rFonts w:ascii="Calibri" w:hAnsi="Calibri"/>
          <w:b w:val="0"/>
          <w:i w:val="0"/>
          <w:color w:val="19222F"/>
          <w:sz w:val="22"/>
        </w:rPr>
        <w:t>;</w:t>
      </w:r>
    </w:p>
    <w:p>
      <w:pPr>
        <w:pStyle w:val="ListBullet"/>
      </w:pPr>
      <w:r>
        <w:rPr>
          <w:rFonts w:ascii="Calibri" w:hAnsi="Calibri"/>
          <w:b w:val="0"/>
          <w:i w:val="0"/>
          <w:color w:val="19222F"/>
          <w:sz w:val="22"/>
        </w:rPr>
        <w:t xml:space="preserve"> отсутствует историческая выборка реакции;</w:t>
      </w:r>
    </w:p>
    <w:p>
      <w:pPr>
        <w:pStyle w:val="ListBullet"/>
      </w:pPr>
      <w:r>
        <w:rPr>
          <w:rFonts w:ascii="Calibri" w:hAnsi="Calibri"/>
          <w:b w:val="0"/>
          <w:i w:val="0"/>
          <w:color w:val="19222F"/>
          <w:sz w:val="22"/>
        </w:rPr>
        <w:t xml:space="preserve"> источник давно не обновлялся или публикация была пересмотрена.</w:t>
      </w:r>
    </w:p>
    <w:p>
      <w:pPr>
        <w:pStyle w:val="Heading1"/>
      </w:pPr>
      <w:r>
        <w:t>Часть II. Пороговые ориентиры</w:t>
      </w:r>
    </w:p>
    <w:p>
      <w:r>
        <w:rPr>
          <w:rFonts w:ascii="Calibri" w:hAnsi="Calibri"/>
          <w:b w:val="0"/>
          <w:i w:val="0"/>
          <w:color w:val="19222F"/>
          <w:sz w:val="22"/>
        </w:rPr>
        <w:t>Порог — экономически понятная стартовая граница, а не предсказание. Все системные пороги версионируются; персональные накладываются отдельно и не переписывают историю.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00"/>
        <w:gridCol w:w="1000"/>
        <w:gridCol w:w="1000"/>
        <w:gridCol w:w="1000"/>
        <w:gridCol w:w="3860"/>
      </w:tblGrid>
      <w:tr>
        <w:trPr>
          <w:cantSplit/>
          <w:tblHeader w:val="true"/>
        </w:trPr>
        <w:tc>
          <w:tcPr>
            <w:tcW w:type="dxa" w:w="250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19222F"/>
                <w:sz w:val="18"/>
              </w:rPr>
              <w:t>Показатель</w:t>
            </w:r>
          </w:p>
        </w:tc>
        <w:tc>
          <w:tcPr>
            <w:tcW w:type="dxa" w:w="100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19222F"/>
                <w:sz w:val="18"/>
              </w:rPr>
              <w:t>Warning</w:t>
            </w:r>
          </w:p>
        </w:tc>
        <w:tc>
          <w:tcPr>
            <w:tcW w:type="dxa" w:w="100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19222F"/>
                <w:sz w:val="18"/>
              </w:rPr>
              <w:t>Danger</w:t>
            </w:r>
          </w:p>
        </w:tc>
        <w:tc>
          <w:tcPr>
            <w:tcW w:type="dxa" w:w="100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19222F"/>
                <w:sz w:val="18"/>
              </w:rPr>
              <w:t>Critical</w:t>
            </w:r>
          </w:p>
        </w:tc>
        <w:tc>
          <w:tcPr>
            <w:tcW w:type="dxa" w:w="386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19222F"/>
                <w:sz w:val="18"/>
              </w:rPr>
              <w:t>Важный контекст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19222F"/>
                <w:sz w:val="18"/>
              </w:rPr>
              <w:t>Sahm Rule, п.п.</w:t>
            </w:r>
          </w:p>
        </w:tc>
        <w:tc>
          <w:tcPr>
            <w:tcW w:type="dxa" w:w="1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19222F"/>
                <w:sz w:val="18"/>
              </w:rPr>
              <w:t>0.25</w:t>
            </w:r>
          </w:p>
        </w:tc>
        <w:tc>
          <w:tcPr>
            <w:tcW w:type="dxa" w:w="1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19222F"/>
                <w:sz w:val="18"/>
              </w:rPr>
              <w:t>0.50</w:t>
            </w:r>
          </w:p>
        </w:tc>
        <w:tc>
          <w:tcPr>
            <w:tcW w:type="dxa" w:w="1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19222F"/>
                <w:sz w:val="18"/>
              </w:rPr>
              <w:t>1.00</w:t>
            </w:r>
          </w:p>
        </w:tc>
        <w:tc>
          <w:tcPr>
            <w:tcW w:type="dxa" w:w="3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19222F"/>
                <w:sz w:val="18"/>
              </w:rPr>
              <w:t>0.50 — официальный рецессионный триггер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19222F"/>
                <w:sz w:val="18"/>
              </w:rPr>
              <w:t>US HY OAS, %</w:t>
            </w:r>
          </w:p>
        </w:tc>
        <w:tc>
          <w:tcPr>
            <w:tcW w:type="dxa" w:w="1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19222F"/>
                <w:sz w:val="18"/>
              </w:rPr>
              <w:t>4.5</w:t>
            </w:r>
          </w:p>
        </w:tc>
        <w:tc>
          <w:tcPr>
            <w:tcW w:type="dxa" w:w="1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19222F"/>
                <w:sz w:val="18"/>
              </w:rPr>
              <w:t>6.0</w:t>
            </w:r>
          </w:p>
        </w:tc>
        <w:tc>
          <w:tcPr>
            <w:tcW w:type="dxa" w:w="1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19222F"/>
                <w:sz w:val="18"/>
              </w:rPr>
              <w:t>8.0</w:t>
            </w:r>
          </w:p>
        </w:tc>
        <w:tc>
          <w:tcPr>
            <w:tcW w:type="dxa" w:w="3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19222F"/>
                <w:sz w:val="18"/>
              </w:rPr>
              <w:t>также важна скорость +100/+200/+350 б.п. за 30 дней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19222F"/>
                <w:sz w:val="18"/>
              </w:rPr>
              <w:t>VIX</w:t>
            </w:r>
          </w:p>
        </w:tc>
        <w:tc>
          <w:tcPr>
            <w:tcW w:type="dxa" w:w="1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19222F"/>
                <w:sz w:val="18"/>
              </w:rPr>
              <w:t>25</w:t>
            </w:r>
          </w:p>
        </w:tc>
        <w:tc>
          <w:tcPr>
            <w:tcW w:type="dxa" w:w="1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19222F"/>
                <w:sz w:val="18"/>
              </w:rPr>
              <w:t>30</w:t>
            </w:r>
          </w:p>
        </w:tc>
        <w:tc>
          <w:tcPr>
            <w:tcW w:type="dxa" w:w="1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19222F"/>
                <w:sz w:val="18"/>
              </w:rPr>
              <w:t>40</w:t>
            </w:r>
          </w:p>
        </w:tc>
        <w:tc>
          <w:tcPr>
            <w:tcW w:type="dxa" w:w="3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19222F"/>
                <w:sz w:val="18"/>
              </w:rPr>
              <w:t>единичный всплеск требует устойчивости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19222F"/>
                <w:sz w:val="18"/>
              </w:rPr>
              <w:t>S&amp;P 500 drawdown</w:t>
            </w:r>
          </w:p>
        </w:tc>
        <w:tc>
          <w:tcPr>
            <w:tcW w:type="dxa" w:w="1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19222F"/>
                <w:sz w:val="18"/>
              </w:rPr>
              <w:t>−10%</w:t>
            </w:r>
          </w:p>
        </w:tc>
        <w:tc>
          <w:tcPr>
            <w:tcW w:type="dxa" w:w="1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19222F"/>
                <w:sz w:val="18"/>
              </w:rPr>
              <w:t>−20%</w:t>
            </w:r>
          </w:p>
        </w:tc>
        <w:tc>
          <w:tcPr>
            <w:tcW w:type="dxa" w:w="1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19222F"/>
                <w:sz w:val="18"/>
              </w:rPr>
              <w:t>−30%</w:t>
            </w:r>
          </w:p>
        </w:tc>
        <w:tc>
          <w:tcPr>
            <w:tcW w:type="dxa" w:w="3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19222F"/>
                <w:sz w:val="18"/>
              </w:rPr>
              <w:t>учитываются скорость и ширина падения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19222F"/>
                <w:sz w:val="18"/>
              </w:rPr>
              <w:t>10Y–2Y</w:t>
            </w:r>
          </w:p>
        </w:tc>
        <w:tc>
          <w:tcPr>
            <w:tcW w:type="dxa" w:w="1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19222F"/>
                <w:sz w:val="18"/>
              </w:rPr>
              <w:t>≤0 за 20 дней</w:t>
            </w:r>
          </w:p>
        </w:tc>
        <w:tc>
          <w:tcPr>
            <w:tcW w:type="dxa" w:w="1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19222F"/>
                <w:sz w:val="18"/>
              </w:rPr>
              <w:t>≤−0.5 или 60 дней</w:t>
            </w:r>
          </w:p>
        </w:tc>
        <w:tc>
          <w:tcPr>
            <w:tcW w:type="dxa" w:w="1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19222F"/>
                <w:sz w:val="18"/>
              </w:rPr>
              <w:t>нет одиночного critical</w:t>
            </w:r>
          </w:p>
        </w:tc>
        <w:tc>
          <w:tcPr>
            <w:tcW w:type="dxa" w:w="3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19222F"/>
                <w:sz w:val="18"/>
              </w:rPr>
              <w:t>важна последовательность инверсия → распрямление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19222F"/>
                <w:sz w:val="18"/>
              </w:rPr>
              <w:t>NFCI</w:t>
            </w:r>
          </w:p>
        </w:tc>
        <w:tc>
          <w:tcPr>
            <w:tcW w:type="dxa" w:w="1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19222F"/>
                <w:sz w:val="18"/>
              </w:rPr>
              <w:t>0.0</w:t>
            </w:r>
          </w:p>
        </w:tc>
        <w:tc>
          <w:tcPr>
            <w:tcW w:type="dxa" w:w="1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19222F"/>
                <w:sz w:val="18"/>
              </w:rPr>
              <w:t>0.5</w:t>
            </w:r>
          </w:p>
        </w:tc>
        <w:tc>
          <w:tcPr>
            <w:tcW w:type="dxa" w:w="1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19222F"/>
                <w:sz w:val="18"/>
              </w:rPr>
              <w:t>1.0</w:t>
            </w:r>
          </w:p>
        </w:tc>
        <w:tc>
          <w:tcPr>
            <w:tcW w:type="dxa" w:w="3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19222F"/>
                <w:sz w:val="18"/>
              </w:rPr>
              <w:t>учитывается недельное ускорение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19222F"/>
                <w:sz w:val="18"/>
              </w:rPr>
              <w:t>Fed assets, 90d</w:t>
            </w:r>
          </w:p>
        </w:tc>
        <w:tc>
          <w:tcPr>
            <w:tcW w:type="dxa" w:w="1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19222F"/>
                <w:sz w:val="18"/>
              </w:rPr>
              <w:t>−3%</w:t>
            </w:r>
          </w:p>
        </w:tc>
        <w:tc>
          <w:tcPr>
            <w:tcW w:type="dxa" w:w="1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19222F"/>
                <w:sz w:val="18"/>
              </w:rPr>
              <w:t>−6%</w:t>
            </w:r>
          </w:p>
        </w:tc>
        <w:tc>
          <w:tcPr>
            <w:tcW w:type="dxa" w:w="1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19222F"/>
                <w:sz w:val="18"/>
              </w:rPr>
              <w:t>−10%</w:t>
            </w:r>
          </w:p>
        </w:tc>
        <w:tc>
          <w:tcPr>
            <w:tcW w:type="dxa" w:w="3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19222F"/>
                <w:sz w:val="18"/>
              </w:rPr>
              <w:t>рост баланса после сжатия — реакция поддержки, не улучшение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19222F"/>
                <w:sz w:val="18"/>
              </w:rPr>
              <w:t>US real GDP q/q annualized</w:t>
            </w:r>
          </w:p>
        </w:tc>
        <w:tc>
          <w:tcPr>
            <w:tcW w:type="dxa" w:w="1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19222F"/>
                <w:sz w:val="18"/>
              </w:rPr>
              <w:t>1%</w:t>
            </w:r>
          </w:p>
        </w:tc>
        <w:tc>
          <w:tcPr>
            <w:tcW w:type="dxa" w:w="1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19222F"/>
                <w:sz w:val="18"/>
              </w:rPr>
              <w:t>0%</w:t>
            </w:r>
          </w:p>
        </w:tc>
        <w:tc>
          <w:tcPr>
            <w:tcW w:type="dxa" w:w="1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19222F"/>
                <w:sz w:val="18"/>
              </w:rPr>
              <w:t>−2%</w:t>
            </w:r>
          </w:p>
        </w:tc>
        <w:tc>
          <w:tcPr>
            <w:tcW w:type="dxa" w:w="3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19222F"/>
                <w:sz w:val="18"/>
              </w:rPr>
              <w:t>запаздывающее подтверждение</w:t>
            </w:r>
          </w:p>
        </w:tc>
      </w:tr>
    </w:tbl>
    <w:p>
      <w:pPr>
        <w:spacing w:after="40"/>
      </w:pPr>
    </w:p>
    <w:p>
      <w:r>
        <w:br w:type="page"/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00"/>
        <w:gridCol w:w="1000"/>
        <w:gridCol w:w="1000"/>
        <w:gridCol w:w="1000"/>
        <w:gridCol w:w="3860"/>
      </w:tblGrid>
      <w:tr>
        <w:trPr>
          <w:cantSplit/>
          <w:tblHeader w:val="true"/>
        </w:trPr>
        <w:tc>
          <w:tcPr>
            <w:tcW w:type="dxa" w:w="250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19222F"/>
                <w:sz w:val="18"/>
              </w:rPr>
              <w:t>Показатель</w:t>
            </w:r>
          </w:p>
        </w:tc>
        <w:tc>
          <w:tcPr>
            <w:tcW w:type="dxa" w:w="100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19222F"/>
                <w:sz w:val="18"/>
              </w:rPr>
              <w:t>Warning</w:t>
            </w:r>
          </w:p>
        </w:tc>
        <w:tc>
          <w:tcPr>
            <w:tcW w:type="dxa" w:w="100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19222F"/>
                <w:sz w:val="18"/>
              </w:rPr>
              <w:t>Danger</w:t>
            </w:r>
          </w:p>
        </w:tc>
        <w:tc>
          <w:tcPr>
            <w:tcW w:type="dxa" w:w="100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19222F"/>
                <w:sz w:val="18"/>
              </w:rPr>
              <w:t>Critical</w:t>
            </w:r>
          </w:p>
        </w:tc>
        <w:tc>
          <w:tcPr>
            <w:tcW w:type="dxa" w:w="386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19222F"/>
                <w:sz w:val="18"/>
              </w:rPr>
              <w:t>Важный контекст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19222F"/>
                <w:sz w:val="18"/>
              </w:rPr>
              <w:t>WTI, 90d</w:t>
            </w:r>
          </w:p>
        </w:tc>
        <w:tc>
          <w:tcPr>
            <w:tcW w:type="dxa" w:w="1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19222F"/>
                <w:sz w:val="18"/>
              </w:rPr>
              <w:t>+20%</w:t>
            </w:r>
          </w:p>
        </w:tc>
        <w:tc>
          <w:tcPr>
            <w:tcW w:type="dxa" w:w="1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19222F"/>
                <w:sz w:val="18"/>
              </w:rPr>
              <w:t>+35%</w:t>
            </w:r>
          </w:p>
        </w:tc>
        <w:tc>
          <w:tcPr>
            <w:tcW w:type="dxa" w:w="1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19222F"/>
                <w:sz w:val="18"/>
              </w:rPr>
              <w:t>+60%</w:t>
            </w:r>
          </w:p>
        </w:tc>
        <w:tc>
          <w:tcPr>
            <w:tcW w:type="dxa" w:w="3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19222F"/>
                <w:sz w:val="18"/>
              </w:rPr>
              <w:t>отдельная ветка падения −20/−35/−50%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19222F"/>
                <w:sz w:val="18"/>
              </w:rPr>
              <w:t>Euro CISS</w:t>
            </w:r>
          </w:p>
        </w:tc>
        <w:tc>
          <w:tcPr>
            <w:tcW w:type="dxa" w:w="1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19222F"/>
                <w:sz w:val="18"/>
              </w:rPr>
              <w:t>0.20</w:t>
            </w:r>
          </w:p>
        </w:tc>
        <w:tc>
          <w:tcPr>
            <w:tcW w:type="dxa" w:w="1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19222F"/>
                <w:sz w:val="18"/>
              </w:rPr>
              <w:t>0.35</w:t>
            </w:r>
          </w:p>
        </w:tc>
        <w:tc>
          <w:tcPr>
            <w:tcW w:type="dxa" w:w="1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19222F"/>
                <w:sz w:val="18"/>
              </w:rPr>
              <w:t>0.55</w:t>
            </w:r>
          </w:p>
        </w:tc>
        <w:tc>
          <w:tcPr>
            <w:tcW w:type="dxa" w:w="3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19222F"/>
                <w:sz w:val="18"/>
              </w:rPr>
              <w:t>сверяется с rolling percentiles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19222F"/>
                <w:sz w:val="18"/>
              </w:rPr>
              <w:t>Euro GDP q/q</w:t>
            </w:r>
          </w:p>
        </w:tc>
        <w:tc>
          <w:tcPr>
            <w:tcW w:type="dxa" w:w="1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19222F"/>
                <w:sz w:val="18"/>
              </w:rPr>
              <w:t>0.2%</w:t>
            </w:r>
          </w:p>
        </w:tc>
        <w:tc>
          <w:tcPr>
            <w:tcW w:type="dxa" w:w="1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19222F"/>
                <w:sz w:val="18"/>
              </w:rPr>
              <w:t>0%</w:t>
            </w:r>
          </w:p>
        </w:tc>
        <w:tc>
          <w:tcPr>
            <w:tcW w:type="dxa" w:w="1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19222F"/>
                <w:sz w:val="18"/>
              </w:rPr>
              <w:t>−1.0%</w:t>
            </w:r>
          </w:p>
        </w:tc>
        <w:tc>
          <w:tcPr>
            <w:tcW w:type="dxa" w:w="3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19222F"/>
                <w:sz w:val="18"/>
              </w:rPr>
              <w:t>запаздывающий показатель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19222F"/>
                <w:sz w:val="18"/>
              </w:rPr>
              <w:t>China real GDP y/y</w:t>
            </w:r>
          </w:p>
        </w:tc>
        <w:tc>
          <w:tcPr>
            <w:tcW w:type="dxa" w:w="1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19222F"/>
                <w:sz w:val="18"/>
              </w:rPr>
              <w:t>4%</w:t>
            </w:r>
          </w:p>
        </w:tc>
        <w:tc>
          <w:tcPr>
            <w:tcW w:type="dxa" w:w="1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19222F"/>
                <w:sz w:val="18"/>
              </w:rPr>
              <w:t>3%</w:t>
            </w:r>
          </w:p>
        </w:tc>
        <w:tc>
          <w:tcPr>
            <w:tcW w:type="dxa" w:w="1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19222F"/>
                <w:sz w:val="18"/>
              </w:rPr>
              <w:t>1%</w:t>
            </w:r>
          </w:p>
        </w:tc>
        <w:tc>
          <w:tcPr>
            <w:tcW w:type="dxa" w:w="3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19222F"/>
                <w:sz w:val="18"/>
              </w:rPr>
              <w:t>структурный, не быстрый сигнал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19222F"/>
                <w:sz w:val="18"/>
              </w:rPr>
              <w:t>World real GDP y/y</w:t>
            </w:r>
          </w:p>
        </w:tc>
        <w:tc>
          <w:tcPr>
            <w:tcW w:type="dxa" w:w="1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19222F"/>
                <w:sz w:val="18"/>
              </w:rPr>
              <w:t>2.5%</w:t>
            </w:r>
          </w:p>
        </w:tc>
        <w:tc>
          <w:tcPr>
            <w:tcW w:type="dxa" w:w="1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19222F"/>
                <w:sz w:val="18"/>
              </w:rPr>
              <w:t>1.5%</w:t>
            </w:r>
          </w:p>
        </w:tc>
        <w:tc>
          <w:tcPr>
            <w:tcW w:type="dxa" w:w="1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19222F"/>
                <w:sz w:val="18"/>
              </w:rPr>
              <w:t>0%</w:t>
            </w:r>
          </w:p>
        </w:tc>
        <w:tc>
          <w:tcPr>
            <w:tcW w:type="dxa" w:w="3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19222F"/>
                <w:sz w:val="18"/>
              </w:rPr>
              <w:t>не участвует в оперативной стадии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19222F"/>
                <w:sz w:val="18"/>
              </w:rPr>
              <w:t>BIS credit-to-GDP gap</w:t>
            </w:r>
          </w:p>
        </w:tc>
        <w:tc>
          <w:tcPr>
            <w:tcW w:type="dxa" w:w="1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19222F"/>
                <w:sz w:val="18"/>
              </w:rPr>
              <w:t>2 п.п.</w:t>
            </w:r>
          </w:p>
        </w:tc>
        <w:tc>
          <w:tcPr>
            <w:tcW w:type="dxa" w:w="1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19222F"/>
                <w:sz w:val="18"/>
              </w:rPr>
              <w:t>10 п.п.</w:t>
            </w:r>
          </w:p>
        </w:tc>
        <w:tc>
          <w:tcPr>
            <w:tcW w:type="dxa" w:w="1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19222F"/>
                <w:sz w:val="18"/>
              </w:rPr>
              <w:t>нет одиночного critical</w:t>
            </w:r>
          </w:p>
        </w:tc>
        <w:tc>
          <w:tcPr>
            <w:tcW w:type="dxa" w:w="3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19222F"/>
                <w:sz w:val="18"/>
              </w:rPr>
              <w:t>уязвимость, а не момент кризиса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19222F"/>
                <w:sz w:val="18"/>
              </w:rPr>
              <w:t>G20/China CLI 6m</w:t>
            </w:r>
          </w:p>
        </w:tc>
        <w:tc>
          <w:tcPr>
            <w:tcW w:type="dxa" w:w="1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19222F"/>
                <w:sz w:val="18"/>
              </w:rPr>
              <w:t>−0.2</w:t>
            </w:r>
          </w:p>
        </w:tc>
        <w:tc>
          <w:tcPr>
            <w:tcW w:type="dxa" w:w="1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19222F"/>
                <w:sz w:val="18"/>
              </w:rPr>
              <w:t>−0.6</w:t>
            </w:r>
          </w:p>
        </w:tc>
        <w:tc>
          <w:tcPr>
            <w:tcW w:type="dxa" w:w="1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19222F"/>
                <w:sz w:val="18"/>
              </w:rPr>
              <w:t>−1.2</w:t>
            </w:r>
          </w:p>
        </w:tc>
        <w:tc>
          <w:tcPr>
            <w:tcW w:type="dxa" w:w="3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19222F"/>
                <w:sz w:val="18"/>
              </w:rPr>
              <w:t>требует направления ниже 100 и второго подтверждения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19222F"/>
                <w:sz w:val="18"/>
              </w:rPr>
              <w:t>BTC/ETH funding</w:t>
            </w:r>
          </w:p>
        </w:tc>
        <w:tc>
          <w:tcPr>
            <w:tcW w:type="dxa" w:w="1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19222F"/>
                <w:sz w:val="18"/>
              </w:rPr>
              <w:t>±0.05%</w:t>
            </w:r>
          </w:p>
        </w:tc>
        <w:tc>
          <w:tcPr>
            <w:tcW w:type="dxa" w:w="1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19222F"/>
                <w:sz w:val="18"/>
              </w:rPr>
              <w:t>±0.10%</w:t>
            </w:r>
          </w:p>
        </w:tc>
        <w:tc>
          <w:tcPr>
            <w:tcW w:type="dxa" w:w="1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19222F"/>
                <w:sz w:val="18"/>
              </w:rPr>
              <w:t>±0.20%</w:t>
            </w:r>
          </w:p>
        </w:tc>
        <w:tc>
          <w:tcPr>
            <w:tcW w:type="dxa" w:w="3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19222F"/>
                <w:sz w:val="18"/>
              </w:rPr>
              <w:t>знак сопоставляется с ценой и OI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19222F"/>
                <w:sz w:val="18"/>
              </w:rPr>
              <w:t>BTC/ETH OI 7d</w:t>
            </w:r>
          </w:p>
        </w:tc>
        <w:tc>
          <w:tcPr>
            <w:tcW w:type="dxa" w:w="1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19222F"/>
                <w:sz w:val="18"/>
              </w:rPr>
              <w:t>±15%</w:t>
            </w:r>
          </w:p>
        </w:tc>
        <w:tc>
          <w:tcPr>
            <w:tcW w:type="dxa" w:w="1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19222F"/>
                <w:sz w:val="18"/>
              </w:rPr>
              <w:t>±25%</w:t>
            </w:r>
          </w:p>
        </w:tc>
        <w:tc>
          <w:tcPr>
            <w:tcW w:type="dxa" w:w="1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19222F"/>
                <w:sz w:val="18"/>
              </w:rPr>
              <w:t>±40%</w:t>
            </w:r>
          </w:p>
        </w:tc>
        <w:tc>
          <w:tcPr>
            <w:tcW w:type="dxa" w:w="3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19222F"/>
                <w:sz w:val="18"/>
              </w:rPr>
              <w:t>рост плечей и ликвидационный сброс — разные состояния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19222F"/>
                <w:sz w:val="18"/>
              </w:rPr>
              <w:t>BTC/ETH drawdown 30d</w:t>
            </w:r>
          </w:p>
        </w:tc>
        <w:tc>
          <w:tcPr>
            <w:tcW w:type="dxa" w:w="1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19222F"/>
                <w:sz w:val="18"/>
              </w:rPr>
              <w:t>−15%</w:t>
            </w:r>
          </w:p>
        </w:tc>
        <w:tc>
          <w:tcPr>
            <w:tcW w:type="dxa" w:w="1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19222F"/>
                <w:sz w:val="18"/>
              </w:rPr>
              <w:t>−25%</w:t>
            </w:r>
          </w:p>
        </w:tc>
        <w:tc>
          <w:tcPr>
            <w:tcW w:type="dxa" w:w="1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19222F"/>
                <w:sz w:val="18"/>
              </w:rPr>
              <w:t>−40%</w:t>
            </w:r>
          </w:p>
        </w:tc>
        <w:tc>
          <w:tcPr>
            <w:tcW w:type="dxa" w:w="3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19222F"/>
                <w:sz w:val="18"/>
              </w:rPr>
              <w:t>дополняется волатильностью и ликвидациями</w:t>
            </w:r>
          </w:p>
        </w:tc>
      </w:tr>
    </w:tbl>
    <w:p>
      <w:pPr>
        <w:spacing w:after="40"/>
      </w:pPr>
    </w:p>
    <w:p>
      <w:r>
        <w:rPr>
          <w:rFonts w:ascii="Calibri" w:hAnsi="Calibri"/>
          <w:b w:val="0"/>
          <w:i w:val="0"/>
          <w:color w:val="19222F"/>
          <w:sz w:val="22"/>
        </w:rPr>
        <w:t xml:space="preserve">Дополнительно используются динамические границы: неблагоприятный percentile 80/95/99% и robust </w:t>
      </w:r>
      <w:r>
        <w:rPr>
          <w:rFonts w:ascii="Menlo" w:hAnsi="Menlo"/>
          <w:b w:val="0"/>
          <w:i w:val="0"/>
          <w:color w:val="1F4D78"/>
          <w:sz w:val="20"/>
        </w:rPr>
        <w:t>|z|</w:t>
      </w:r>
      <w:r>
        <w:rPr>
          <w:rFonts w:ascii="Calibri" w:hAnsi="Calibri"/>
          <w:b w:val="0"/>
          <w:i w:val="0"/>
          <w:color w:val="19222F"/>
          <w:sz w:val="22"/>
        </w:rPr>
        <w:t xml:space="preserve"> 1/2/3. Они подтверждают или снижают надёжность экономического порога, но не заменяют его.</w:t>
      </w:r>
    </w:p>
    <w:p>
      <w:pPr>
        <w:pStyle w:val="Heading1"/>
      </w:pPr>
      <w:r>
        <w:t>Часть III. Техническая методика</w:t>
      </w:r>
    </w:p>
    <w:p>
      <w:pPr>
        <w:pStyle w:val="Heading2"/>
      </w:pPr>
      <w:r>
        <w:t>Причинность данных</w:t>
      </w:r>
    </w:p>
    <w:p>
      <w:r>
        <w:rPr>
          <w:rFonts w:ascii="Calibri" w:hAnsi="Calibri"/>
          <w:b w:val="0"/>
          <w:i w:val="0"/>
          <w:color w:val="19222F"/>
          <w:sz w:val="22"/>
        </w:rPr>
        <w:t xml:space="preserve">Исторический расчёт использует только наблюдения, у которых </w:t>
      </w:r>
      <w:r>
        <w:rPr>
          <w:rFonts w:ascii="Menlo" w:hAnsi="Menlo"/>
          <w:b w:val="0"/>
          <w:i w:val="0"/>
          <w:color w:val="1F4D78"/>
          <w:sz w:val="20"/>
        </w:rPr>
        <w:t>observed_at &lt;= cutoff</w:t>
      </w:r>
      <w:r>
        <w:rPr>
          <w:rFonts w:ascii="Calibri" w:hAnsi="Calibri"/>
          <w:b w:val="0"/>
          <w:i w:val="0"/>
          <w:color w:val="19222F"/>
          <w:sz w:val="22"/>
        </w:rPr>
        <w:t xml:space="preserve"> и </w:t>
      </w:r>
      <w:r>
        <w:rPr>
          <w:rFonts w:ascii="Menlo" w:hAnsi="Menlo"/>
          <w:b w:val="0"/>
          <w:i w:val="0"/>
          <w:color w:val="1F4D78"/>
          <w:sz w:val="20"/>
        </w:rPr>
        <w:t>released_at &lt;= cutoff</w:t>
      </w:r>
      <w:r>
        <w:rPr>
          <w:rFonts w:ascii="Calibri" w:hAnsi="Calibri"/>
          <w:b w:val="0"/>
          <w:i w:val="0"/>
          <w:color w:val="19222F"/>
          <w:sz w:val="22"/>
        </w:rPr>
        <w:t>. Пересмотренные значения хранятся как отдельные vintages. Просроченные значения исключаются или понижают покрытие; последнее известное значение не маскируется под свежее.</w:t>
      </w:r>
    </w:p>
    <w:p>
      <w:pPr>
        <w:pStyle w:val="Heading2"/>
      </w:pPr>
      <w:r>
        <w:t>Индикатор</w:t>
      </w:r>
    </w:p>
    <w:p>
      <w:r>
        <w:rPr>
          <w:rFonts w:ascii="Calibri" w:hAnsi="Calibri"/>
          <w:b w:val="0"/>
          <w:i w:val="0"/>
          <w:color w:val="19222F"/>
          <w:sz w:val="22"/>
        </w:rPr>
        <w:t>Кандидатная формула:</w:t>
      </w:r>
    </w:p>
    <w:p>
      <w:pPr>
        <w:keepLines/>
        <w:spacing w:before="80" w:after="160"/>
        <w:ind w:left="360" w:right="360"/>
        <w:shd w:fill="F4F6F9"/>
      </w:pPr>
      <w:r>
        <w:rPr>
          <w:rFonts w:ascii="Menlo" w:hAnsi="Menlo"/>
          <w:b w:val="0"/>
          <w:i w:val="0"/>
          <w:color w:val="1F4D78"/>
          <w:sz w:val="19"/>
        </w:rPr>
        <w:t>indicator_score = availability_gate × (</w:t>
        <w:br/>
        <w:t xml:space="preserve">    0.45 × absolute_level_score</w:t>
        <w:br/>
        <w:t xml:space="preserve">  + 0.25 × trend_score</w:t>
        <w:br/>
        <w:t xml:space="preserve">  + 0.15 × anomaly_score</w:t>
        <w:br/>
        <w:t xml:space="preserve">  + 0.15 × persistence_score</w:t>
        <w:br/>
        <w:t>)</w:t>
      </w:r>
    </w:p>
    <w:p>
      <w:r>
        <w:rPr>
          <w:rFonts w:ascii="Calibri" w:hAnsi="Calibri"/>
          <w:b w:val="0"/>
          <w:i w:val="0"/>
          <w:color w:val="19222F"/>
          <w:sz w:val="22"/>
        </w:rPr>
        <w:t>Trend engine сохраняет изменения 1d/7d/15d/30d/90d/6m/12m, Theil–Sen slope, ускорение, percentile, MAD z-score, volatility regime, causal CUSUM и persistence. Для кривой доходности, кредитного цикла, баланса ФРС и OI используются отдельные state machines.</w:t>
      </w:r>
    </w:p>
    <w:p>
      <w:pPr>
        <w:pStyle w:val="Heading2"/>
      </w:pPr>
      <w:r>
        <w:t>Группа</w:t>
      </w:r>
    </w:p>
    <w:p>
      <w:pPr>
        <w:keepLines/>
        <w:spacing w:before="80" w:after="160"/>
        <w:ind w:left="360" w:right="360"/>
        <w:shd w:fill="F4F6F9"/>
      </w:pPr>
      <w:r>
        <w:rPr>
          <w:rFonts w:ascii="Menlo" w:hAnsi="Menlo"/>
          <w:b w:val="0"/>
          <w:i w:val="0"/>
          <w:color w:val="1F4D78"/>
          <w:sz w:val="19"/>
        </w:rPr>
        <w:t>group_score =</w:t>
        <w:br/>
        <w:t xml:space="preserve">    0.45 × weighted_mean</w:t>
        <w:br/>
        <w:t xml:space="preserve">  + 0.25 × mean_of_top_two</w:t>
        <w:br/>
        <w:t xml:space="preserve">  + 0.20 × breadth</w:t>
        <w:br/>
        <w:t xml:space="preserve">  + 0.10 × acceleration</w:t>
      </w:r>
    </w:p>
    <w:p>
      <w:r>
        <w:rPr>
          <w:rFonts w:ascii="Calibri" w:hAnsi="Calibri"/>
          <w:b w:val="0"/>
          <w:i w:val="0"/>
          <w:color w:val="19222F"/>
          <w:sz w:val="22"/>
        </w:rPr>
        <w:t xml:space="preserve">Связанные группы объединяются в </w:t>
      </w:r>
      <w:r>
        <w:rPr>
          <w:rFonts w:ascii="Menlo" w:hAnsi="Menlo"/>
          <w:b w:val="0"/>
          <w:i w:val="0"/>
          <w:color w:val="1F4D78"/>
          <w:sz w:val="20"/>
        </w:rPr>
        <w:t>dependency_cluster</w:t>
      </w:r>
      <w:r>
        <w:rPr>
          <w:rFonts w:ascii="Calibri" w:hAnsi="Calibri"/>
          <w:b w:val="0"/>
          <w:i w:val="0"/>
          <w:color w:val="19222F"/>
          <w:sz w:val="22"/>
        </w:rPr>
        <w:t>; максимум внутри кластера считается одним независимым подтверждением. Это уменьшает двойной учёт VIX, equity drawdown и credit spreads.</w:t>
      </w:r>
    </w:p>
    <w:p>
      <w:pPr>
        <w:pStyle w:val="Heading2"/>
      </w:pPr>
      <w:r>
        <w:t>Событие</w:t>
      </w:r>
    </w:p>
    <w:p>
      <w:pPr>
        <w:keepLines/>
        <w:spacing w:before="80" w:after="160"/>
        <w:ind w:left="360" w:right="360"/>
        <w:shd w:fill="F4F6F9"/>
      </w:pPr>
      <w:r>
        <w:rPr>
          <w:rFonts w:ascii="Menlo" w:hAnsi="Menlo"/>
          <w:b w:val="0"/>
          <w:i w:val="0"/>
          <w:color w:val="1F4D78"/>
          <w:sz w:val="19"/>
        </w:rPr>
        <w:t>event_score = severity × source_quality × corroboration</w:t>
        <w:br/>
        <w:t xml:space="preserve">            × novelty × market_relevance × time_decay</w:t>
      </w:r>
    </w:p>
    <w:p>
      <w:r>
        <w:rPr>
          <w:rFonts w:ascii="Calibri" w:hAnsi="Calibri"/>
          <w:b w:val="0"/>
          <w:i w:val="0"/>
          <w:color w:val="19222F"/>
          <w:sz w:val="22"/>
        </w:rPr>
        <w:t>Реляционные записи содержат URL, издателя, original language, publication/fetch time, excerpt, hashes, source tier и evidence IDs. Near-duplicates сливаются в event cluster. Tier C/GDELT — только discovery. Prompt-like инструкции из текста помечаются и не исполняются.</w:t>
      </w:r>
    </w:p>
    <w:p>
      <w:pPr>
        <w:pStyle w:val="Heading2"/>
      </w:pPr>
      <w:r>
        <w:t>Scenario fusion</w:t>
      </w:r>
    </w:p>
    <w:p>
      <w:pPr>
        <w:keepLines/>
        <w:spacing w:before="80" w:after="160"/>
        <w:ind w:left="360" w:right="360"/>
        <w:shd w:fill="F4F6F9"/>
      </w:pPr>
      <w:r>
        <w:rPr>
          <w:rFonts w:ascii="Menlo" w:hAnsi="Menlo"/>
          <w:b w:val="0"/>
          <w:i w:val="0"/>
          <w:color w:val="1F4D78"/>
          <w:sz w:val="19"/>
        </w:rPr>
        <w:t>strength = numeric_level[0..50]</w:t>
        <w:br/>
        <w:t xml:space="preserve">         + trend[0..20]</w:t>
        <w:br/>
        <w:t xml:space="preserve">         + contagion[0..10]</w:t>
        <w:br/>
        <w:t xml:space="preserve">         + corroborated_events[0..20]</w:t>
      </w:r>
    </w:p>
    <w:p>
      <w:r>
        <w:rPr>
          <w:rFonts w:ascii="Menlo" w:hAnsi="Menlo"/>
          <w:b w:val="0"/>
          <w:i w:val="0"/>
          <w:color w:val="1F4D78"/>
          <w:sz w:val="20"/>
        </w:rPr>
        <w:t>confirmed</w:t>
      </w:r>
      <w:r>
        <w:rPr>
          <w:rFonts w:ascii="Calibri" w:hAnsi="Calibri"/>
          <w:b w:val="0"/>
          <w:i w:val="0"/>
          <w:color w:val="19222F"/>
          <w:sz w:val="22"/>
        </w:rPr>
        <w:t xml:space="preserve"> требует силы ≥65, активного anchor, числового вклада ≥18 и минимум двух независимых числовых кластеров. </w:t>
      </w:r>
      <w:r>
        <w:rPr>
          <w:rFonts w:ascii="Menlo" w:hAnsi="Menlo"/>
          <w:b w:val="0"/>
          <w:i w:val="0"/>
          <w:color w:val="1F4D78"/>
          <w:sz w:val="20"/>
        </w:rPr>
        <w:t>elevated</w:t>
      </w:r>
      <w:r>
        <w:rPr>
          <w:rFonts w:ascii="Calibri" w:hAnsi="Calibri"/>
          <w:b w:val="0"/>
          <w:i w:val="0"/>
          <w:color w:val="19222F"/>
          <w:sz w:val="22"/>
        </w:rPr>
        <w:t xml:space="preserve"> требует силы ≥40 и двух кластеров. Неподтверждённая новость ограничена </w:t>
      </w:r>
      <w:r>
        <w:rPr>
          <w:rFonts w:ascii="Menlo" w:hAnsi="Menlo"/>
          <w:b w:val="0"/>
          <w:i w:val="0"/>
          <w:color w:val="1F4D78"/>
          <w:sz w:val="20"/>
        </w:rPr>
        <w:t>watch</w:t>
      </w:r>
      <w:r>
        <w:rPr>
          <w:rFonts w:ascii="Calibri" w:hAnsi="Calibri"/>
          <w:b w:val="0"/>
          <w:i w:val="0"/>
          <w:color w:val="19222F"/>
          <w:sz w:val="22"/>
        </w:rPr>
        <w:t xml:space="preserve">. При недостаточном покрытии статус </w:t>
      </w:r>
      <w:r>
        <w:rPr>
          <w:rFonts w:ascii="Menlo" w:hAnsi="Menlo"/>
          <w:b w:val="0"/>
          <w:i w:val="0"/>
          <w:color w:val="1F4D78"/>
          <w:sz w:val="20"/>
        </w:rPr>
        <w:t>unknown</w:t>
      </w:r>
      <w:r>
        <w:rPr>
          <w:rFonts w:ascii="Calibri" w:hAnsi="Calibri"/>
          <w:b w:val="0"/>
          <w:i w:val="0"/>
          <w:color w:val="19222F"/>
          <w:sz w:val="22"/>
        </w:rPr>
        <w:t>.</w:t>
      </w:r>
    </w:p>
    <w:p>
      <w:pPr>
        <w:pStyle w:val="Heading2"/>
      </w:pPr>
      <w:r>
        <w:t>Coverage gate</w:t>
      </w:r>
    </w:p>
    <w:p>
      <w:pPr>
        <w:pStyle w:val="ListBullet"/>
      </w:pPr>
      <w:r>
        <w:rPr>
          <w:rFonts w:ascii="Calibri" w:hAnsi="Calibri"/>
          <w:b w:val="0"/>
          <w:i w:val="0"/>
          <w:color w:val="19222F"/>
          <w:sz w:val="22"/>
        </w:rPr>
        <w:t xml:space="preserve"> ≥85% + обязательные каналы: </w:t>
      </w:r>
      <w:r>
        <w:rPr>
          <w:rFonts w:ascii="Menlo" w:hAnsi="Menlo"/>
          <w:b w:val="0"/>
          <w:i w:val="0"/>
          <w:color w:val="1F4D78"/>
          <w:sz w:val="20"/>
        </w:rPr>
        <w:t>healthy</w:t>
      </w:r>
      <w:r>
        <w:rPr>
          <w:rFonts w:ascii="Calibri" w:hAnsi="Calibri"/>
          <w:b w:val="0"/>
          <w:i w:val="0"/>
          <w:color w:val="19222F"/>
          <w:sz w:val="22"/>
        </w:rPr>
        <w:t>;</w:t>
      </w:r>
    </w:p>
    <w:p>
      <w:pPr>
        <w:pStyle w:val="ListBullet"/>
      </w:pPr>
      <w:r>
        <w:rPr>
          <w:rFonts w:ascii="Calibri" w:hAnsi="Calibri"/>
          <w:b w:val="0"/>
          <w:i w:val="0"/>
          <w:color w:val="19222F"/>
          <w:sz w:val="22"/>
        </w:rPr>
        <w:t xml:space="preserve"> 70–85%: </w:t>
      </w:r>
      <w:r>
        <w:rPr>
          <w:rFonts w:ascii="Menlo" w:hAnsi="Menlo"/>
          <w:b w:val="0"/>
          <w:i w:val="0"/>
          <w:color w:val="1F4D78"/>
          <w:sz w:val="20"/>
        </w:rPr>
        <w:t>degraded</w:t>
      </w:r>
      <w:r>
        <w:rPr>
          <w:rFonts w:ascii="Calibri" w:hAnsi="Calibri"/>
          <w:b w:val="0"/>
          <w:i w:val="0"/>
          <w:color w:val="19222F"/>
          <w:sz w:val="22"/>
        </w:rPr>
        <w:t>;</w:t>
      </w:r>
    </w:p>
    <w:p>
      <w:pPr>
        <w:pStyle w:val="ListBullet"/>
      </w:pPr>
      <w:r>
        <w:rPr>
          <w:rFonts w:ascii="Calibri" w:hAnsi="Calibri"/>
          <w:b w:val="0"/>
          <w:i w:val="0"/>
          <w:color w:val="19222F"/>
          <w:sz w:val="22"/>
        </w:rPr>
        <w:t xml:space="preserve"> &lt;70%: </w:t>
      </w:r>
      <w:r>
        <w:rPr>
          <w:rFonts w:ascii="Menlo" w:hAnsi="Menlo"/>
          <w:b w:val="0"/>
          <w:i w:val="0"/>
          <w:color w:val="1F4D78"/>
          <w:sz w:val="20"/>
        </w:rPr>
        <w:t>insufficient_data</w:t>
      </w:r>
      <w:r>
        <w:rPr>
          <w:rFonts w:ascii="Calibri" w:hAnsi="Calibri"/>
          <w:b w:val="0"/>
          <w:i w:val="0"/>
          <w:color w:val="19222F"/>
          <w:sz w:val="22"/>
        </w:rPr>
        <w:t>;</w:t>
      </w:r>
    </w:p>
    <w:p>
      <w:pPr>
        <w:pStyle w:val="ListBullet"/>
      </w:pPr>
      <w:r>
        <w:rPr>
          <w:rFonts w:ascii="Calibri" w:hAnsi="Calibri"/>
          <w:b w:val="0"/>
          <w:i w:val="0"/>
          <w:color w:val="19222F"/>
          <w:sz w:val="22"/>
        </w:rPr>
        <w:t xml:space="preserve"> пропажа anchor делает конкретный сценарий </w:t>
      </w:r>
      <w:r>
        <w:rPr>
          <w:rFonts w:ascii="Menlo" w:hAnsi="Menlo"/>
          <w:b w:val="0"/>
          <w:i w:val="0"/>
          <w:color w:val="1F4D78"/>
          <w:sz w:val="20"/>
        </w:rPr>
        <w:t>unknown</w:t>
      </w:r>
      <w:r>
        <w:rPr>
          <w:rFonts w:ascii="Calibri" w:hAnsi="Calibri"/>
          <w:b w:val="0"/>
          <w:i w:val="0"/>
          <w:color w:val="19222F"/>
          <w:sz w:val="22"/>
        </w:rPr>
        <w:t>;</w:t>
      </w:r>
    </w:p>
    <w:p>
      <w:pPr>
        <w:pStyle w:val="ListBullet"/>
      </w:pPr>
      <w:r>
        <w:rPr>
          <w:rFonts w:ascii="Calibri" w:hAnsi="Calibri"/>
          <w:b w:val="0"/>
          <w:i w:val="0"/>
          <w:color w:val="19222F"/>
          <w:sz w:val="22"/>
        </w:rPr>
        <w:t xml:space="preserve"> пропажа двух ключевых регионов/глобальных каналов скрывает общую стадию.</w:t>
      </w:r>
    </w:p>
    <w:p>
      <w:r>
        <w:rPr>
          <w:rFonts w:ascii="Calibri" w:hAnsi="Calibri"/>
          <w:b w:val="0"/>
          <w:i w:val="0"/>
          <w:color w:val="19222F"/>
          <w:sz w:val="22"/>
        </w:rPr>
        <w:t>Coverage и рыночный риск хранятся отдельно. Векторная память не участвует в этом gate.</w:t>
      </w:r>
    </w:p>
    <w:p>
      <w:pPr>
        <w:pStyle w:val="Heading2"/>
      </w:pPr>
      <w:r>
        <w:t>Evidence memory</w:t>
      </w:r>
    </w:p>
    <w:p>
      <w:r>
        <w:rPr>
          <w:rFonts w:ascii="Calibri" w:hAnsi="Calibri"/>
          <w:b w:val="0"/>
          <w:i w:val="0"/>
          <w:color w:val="19222F"/>
          <w:sz w:val="22"/>
        </w:rPr>
        <w:t xml:space="preserve">PostgreSQL хранит документы, события, chunks, связи и shadow parity; </w:t>
      </w:r>
      <w:r>
        <w:rPr>
          <w:rFonts w:ascii="Menlo" w:hAnsi="Menlo"/>
          <w:b w:val="0"/>
          <w:i w:val="0"/>
          <w:color w:val="1F4D78"/>
          <w:sz w:val="20"/>
        </w:rPr>
        <w:t>pgvector</w:t>
      </w:r>
      <w:r>
        <w:rPr>
          <w:rFonts w:ascii="Calibri" w:hAnsi="Calibri"/>
          <w:b w:val="0"/>
          <w:i w:val="0"/>
          <w:color w:val="19222F"/>
          <w:sz w:val="22"/>
        </w:rPr>
        <w:t xml:space="preserve"> — перестраиваемый индекс. Поиск объединяет metadata, full-text и 768-мерный embedding через reciprocal-rank fusion. Любой ответ агента обязан вернуть реальные evidence IDs; без них он отклоняется или помечается требующим ручной проверки.</w:t>
      </w:r>
    </w:p>
    <w:p>
      <w:pPr>
        <w:pStyle w:val="Heading2"/>
      </w:pPr>
      <w:r>
        <w:t>Возможности</w:t>
      </w:r>
    </w:p>
    <w:p>
      <w:r>
        <w:rPr>
          <w:rFonts w:ascii="Calibri" w:hAnsi="Calibri"/>
          <w:b w:val="0"/>
          <w:i w:val="0"/>
          <w:color w:val="19222F"/>
          <w:sz w:val="22"/>
        </w:rPr>
        <w:t xml:space="preserve">Идея создаётся только при свежей проверяемой котировке, достаточном качестве и активном сценарии. Исторический диапазон содержит </w:t>
      </w:r>
      <w:r>
        <w:rPr>
          <w:rFonts w:ascii="Menlo" w:hAnsi="Menlo"/>
          <w:b w:val="0"/>
          <w:i w:val="0"/>
          <w:color w:val="1F4D78"/>
          <w:sz w:val="20"/>
        </w:rPr>
        <w:t>n</w:t>
      </w:r>
      <w:r>
        <w:rPr>
          <w:rFonts w:ascii="Calibri" w:hAnsi="Calibri"/>
          <w:b w:val="0"/>
          <w:i w:val="0"/>
          <w:color w:val="19222F"/>
          <w:sz w:val="22"/>
        </w:rPr>
        <w:t xml:space="preserve">, медиану и квантили; при </w:t>
      </w:r>
      <w:r>
        <w:rPr>
          <w:rFonts w:ascii="Menlo" w:hAnsi="Menlo"/>
          <w:b w:val="0"/>
          <w:i w:val="0"/>
          <w:color w:val="1F4D78"/>
          <w:sz w:val="20"/>
        </w:rPr>
        <w:t>n &lt; 5</w:t>
      </w:r>
      <w:r>
        <w:rPr>
          <w:rFonts w:ascii="Calibri" w:hAnsi="Calibri"/>
          <w:b w:val="0"/>
          <w:i w:val="0"/>
          <w:color w:val="19222F"/>
          <w:sz w:val="22"/>
        </w:rPr>
        <w:t xml:space="preserve"> диапазон и перенос в калькулятор недоступны. Торговый ордер никогда не создаётся.</w:t>
      </w:r>
    </w:p>
    <w:p>
      <w:pPr>
        <w:pStyle w:val="Heading2"/>
      </w:pPr>
      <w:r>
        <w:t>Калибровка</w:t>
      </w:r>
    </w:p>
    <w:p>
      <w:r>
        <w:rPr>
          <w:rFonts w:ascii="Calibri" w:hAnsi="Calibri"/>
          <w:b w:val="0"/>
          <w:i w:val="0"/>
          <w:color w:val="19222F"/>
          <w:sz w:val="22"/>
        </w:rPr>
        <w:t xml:space="preserve">Используются walk-forward, right censoring и запрет обучения на ещё не разрешившихся горизонтах. Promotion gate: ≥30 событий, ≥5 holdout, Brier лучше base rate, recall ≥0.20, false-alert rate ≤0.50, coverage ≥0.50, sensitivity stability, region holdout и crisis holdout. Неудачный backtest сохраняется для аудита, но live probability остаётся </w:t>
      </w:r>
      <w:r>
        <w:rPr>
          <w:rFonts w:ascii="Menlo" w:hAnsi="Menlo"/>
          <w:b w:val="0"/>
          <w:i w:val="0"/>
          <w:color w:val="1F4D78"/>
          <w:sz w:val="20"/>
        </w:rPr>
        <w:t>null</w:t>
      </w:r>
      <w:r>
        <w:rPr>
          <w:rFonts w:ascii="Calibri" w:hAnsi="Calibri"/>
          <w:b w:val="0"/>
          <w:i w:val="0"/>
          <w:color w:val="19222F"/>
          <w:sz w:val="22"/>
        </w:rPr>
        <w:t>.</w:t>
      </w:r>
    </w:p>
    <w:p>
      <w:pPr>
        <w:pStyle w:val="Heading1"/>
      </w:pPr>
      <w:r>
        <w:t>Источники и ограничения</w:t>
      </w:r>
    </w:p>
    <w:p>
      <w:r>
        <w:rPr>
          <w:rFonts w:ascii="Calibri" w:hAnsi="Calibri"/>
          <w:b w:val="0"/>
          <w:i w:val="0"/>
          <w:color w:val="19222F"/>
          <w:sz w:val="22"/>
        </w:rPr>
        <w:t>Приоритет: официальные API/RSS (Tier A), публичные биржевые API (Tier B), discovery-агрегаторы (Tier C). Доступны FRED, BEA, EIA, ECB, Eurostat, World Bank, BIS, OECD, Bybit и официальные RSS Fed/ECB/SEC/CFTC/BIS/BOJ/RBI. GDELT может отвечать rate-limit и тогда честно отключается. Нестабильный HTML scraping не используется.</w:t>
      </w:r>
    </w:p>
    <w:p>
      <w:r>
        <w:rPr>
          <w:rFonts w:ascii="Calibri" w:hAnsi="Calibri"/>
          <w:b w:val="0"/>
          <w:i w:val="0"/>
          <w:color w:val="19222F"/>
          <w:sz w:val="22"/>
        </w:rPr>
        <w:t>Радар не может гарантировать кризис. Редкие события дают мало независимых обучающих примеров; структурные макроданные выходят с задержкой и пересмотрами; бесплатные источники не обеспечивают полный tick-level охват всех активов и TradFi-опционов. Поэтому текущая сила сценария — аудируемый ранний сигнал, а статистическая прогностическая сила остаётся экспериментальной до прохождения promotion gate и live track record.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b w:val="0"/>
        <w:i w:val="0"/>
        <w:color w:val="5A6574"/>
        <w:sz w:val="18"/>
      </w:rPr>
      <w:t xml:space="preserve">Страница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Calibri" w:hAnsi="Calibri"/>
        <w:b/>
        <w:i w:val="0"/>
        <w:color w:val="5A6574"/>
        <w:sz w:val="17"/>
      </w:rPr>
      <w:t>TRADING ASSISTANT  /  CRISIS RADAR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color w:val="19222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0" w:hanging="271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0" w:hanging="271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