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629B" w14:textId="2F22C3AB" w:rsidR="008D294F" w:rsidRPr="008D294F" w:rsidRDefault="008D294F" w:rsidP="00823993">
      <w:pPr>
        <w:jc w:val="both"/>
      </w:pPr>
      <w:r w:rsidRPr="008D294F">
        <w:rPr>
          <w:b/>
          <w:bCs/>
        </w:rPr>
        <w:t>Duga</w:t>
      </w:r>
      <w:r w:rsidRPr="008D294F">
        <w:t xml:space="preserve"> była jednym z najbardziej imponujących i zarazem najbardziej tajemniczych projektów radzieckiej radiolokacji. Powstała jako element systemu wczesnego ostrzegania przed atakiem rakietowym, czyli technologii o znaczeniu strategicznym w realiach zimnej wojny. Zasadniczy problem, przed którym stanęli konstruktorzy, był prosty tylko pozornie: klasyczny radar widzi </w:t>
      </w:r>
      <w:r w:rsidR="00823993">
        <w:t xml:space="preserve">wykrywane obiekty </w:t>
      </w:r>
      <w:r w:rsidRPr="008D294F">
        <w:t>jedynie „</w:t>
      </w:r>
      <w:r w:rsidR="00823993">
        <w:t>w</w:t>
      </w:r>
      <w:r w:rsidRPr="008D294F">
        <w:t xml:space="preserve"> linii prostej”, a więc ogranicza go horyzont</w:t>
      </w:r>
      <w:r w:rsidR="00823993">
        <w:t>, czyli krzywizna ziemi</w:t>
      </w:r>
      <w:r w:rsidRPr="008D294F">
        <w:t xml:space="preserve">. Tymczasem start rakiety międzykontynentalnej trzeba wykryć jak najwcześniej, najlepiej jeszcze w pierwszych minutach lotu. Odpowiedzią miała być radiolokacja </w:t>
      </w:r>
      <w:proofErr w:type="spellStart"/>
      <w:r w:rsidRPr="008D294F">
        <w:t>pozahoryzontalna</w:t>
      </w:r>
      <w:proofErr w:type="spellEnd"/>
      <w:r w:rsidRPr="008D294F">
        <w:t>, wykorzystująca odbicie fal krótkofalowych od jonosfery.</w:t>
      </w:r>
    </w:p>
    <w:p w14:paraId="383CB98A" w14:textId="78F21EBF" w:rsidR="008D294F" w:rsidRPr="008D294F" w:rsidRDefault="008D294F" w:rsidP="00823993">
      <w:pPr>
        <w:jc w:val="both"/>
      </w:pPr>
      <w:r w:rsidRPr="008D294F">
        <w:t xml:space="preserve">Prace nad tym kierunkiem w ZSRR zaczęły się już w latach 60. Najpierw powstał </w:t>
      </w:r>
      <w:r w:rsidRPr="008D294F">
        <w:rPr>
          <w:b/>
          <w:bCs/>
        </w:rPr>
        <w:t>eksperymentalny system Duga-2</w:t>
      </w:r>
      <w:r w:rsidRPr="008D294F">
        <w:t xml:space="preserve"> w rejonie </w:t>
      </w:r>
      <w:proofErr w:type="spellStart"/>
      <w:r w:rsidRPr="008D294F">
        <w:t>Mykołajowa</w:t>
      </w:r>
      <w:proofErr w:type="spellEnd"/>
      <w:r w:rsidRPr="008D294F">
        <w:t xml:space="preserve">. To właśnie tam sprawdzano podstawową ideę działania całego projektu. </w:t>
      </w:r>
      <w:r w:rsidR="00823993">
        <w:t>I</w:t>
      </w:r>
      <w:r w:rsidRPr="008D294F">
        <w:t xml:space="preserve">nstalacja ta wykrywała starty rakiet z </w:t>
      </w:r>
      <w:r w:rsidRPr="008D294F">
        <w:rPr>
          <w:b/>
          <w:bCs/>
        </w:rPr>
        <w:t>Bajkonuru</w:t>
      </w:r>
      <w:r w:rsidRPr="008D294F">
        <w:t xml:space="preserve"> z</w:t>
      </w:r>
      <w:r w:rsidR="00823993">
        <w:t> </w:t>
      </w:r>
      <w:r w:rsidRPr="008D294F">
        <w:t xml:space="preserve">odległości około </w:t>
      </w:r>
      <w:r w:rsidRPr="008D294F">
        <w:rPr>
          <w:b/>
          <w:bCs/>
        </w:rPr>
        <w:t>2500 kilometrów</w:t>
      </w:r>
      <w:r w:rsidRPr="008D294F">
        <w:t>, co było dowodem, że koncepcja ma sens praktyczny. Eksperymentalny obiekt służył również do testowania trajektorii rakiet lecących z Dalekiego Wschodu oraz do obserwacji obiektów na Pacyfiku. W pierwszej fazie chodziło więc nie o</w:t>
      </w:r>
      <w:r w:rsidR="00823993">
        <w:t> </w:t>
      </w:r>
      <w:r w:rsidRPr="008D294F">
        <w:t>stworzenie gotowej broni, lecz o potwierdzenie, że system potrafi wykryć i</w:t>
      </w:r>
      <w:r w:rsidR="00823993">
        <w:t> </w:t>
      </w:r>
      <w:r w:rsidRPr="008D294F">
        <w:t>śledzić bardzo odległe cele.</w:t>
      </w:r>
    </w:p>
    <w:p w14:paraId="0CA6A5E6" w14:textId="733D58CC" w:rsidR="008D294F" w:rsidRPr="008D294F" w:rsidRDefault="008D294F" w:rsidP="00823993">
      <w:pPr>
        <w:jc w:val="both"/>
      </w:pPr>
      <w:r w:rsidRPr="008D294F">
        <w:t xml:space="preserve">W 1969 roku, jeszcze przed zakończeniem wszystkich prób, zapadła decyzja o budowie pełnoprawnego systemu wczesnego ostrzegania </w:t>
      </w:r>
      <w:r w:rsidRPr="008D294F">
        <w:rPr>
          <w:b/>
          <w:bCs/>
        </w:rPr>
        <w:t>Duga</w:t>
      </w:r>
      <w:r w:rsidRPr="008D294F">
        <w:t xml:space="preserve"> z dwoma głównymi węzłami: jednym w</w:t>
      </w:r>
      <w:r w:rsidR="00823993">
        <w:t> </w:t>
      </w:r>
      <w:r w:rsidRPr="008D294F">
        <w:t xml:space="preserve">okolicach </w:t>
      </w:r>
      <w:r w:rsidRPr="008D294F">
        <w:rPr>
          <w:b/>
          <w:bCs/>
        </w:rPr>
        <w:t>Czarnobyla</w:t>
      </w:r>
      <w:r w:rsidRPr="008D294F">
        <w:t xml:space="preserve">, drugim koło </w:t>
      </w:r>
      <w:r w:rsidRPr="008D294F">
        <w:rPr>
          <w:b/>
          <w:bCs/>
        </w:rPr>
        <w:t>Komsomolska nad Amurem</w:t>
      </w:r>
      <w:r w:rsidRPr="008D294F">
        <w:t>. Wstępny projekt powstał w</w:t>
      </w:r>
      <w:r w:rsidR="00823993">
        <w:t> </w:t>
      </w:r>
      <w:r w:rsidRPr="008D294F">
        <w:t xml:space="preserve">1971 roku, a w 1972 zdecydowano o budowie systemu opartego na kilku mniejszych podsystemach. Cały program otrzymał kod </w:t>
      </w:r>
      <w:r w:rsidRPr="008D294F">
        <w:rPr>
          <w:b/>
          <w:bCs/>
        </w:rPr>
        <w:t>5N32</w:t>
      </w:r>
      <w:r w:rsidRPr="008D294F">
        <w:t>. Taki układ nie był przypadkowy: jeden węzeł miał kontrolować kierunek zachodni, drugi wschodni, tak aby pokryć możliwie dużą część przestrzeni nad ZSRR i poza jego granicami.</w:t>
      </w:r>
    </w:p>
    <w:p w14:paraId="703715F5" w14:textId="77777777" w:rsidR="008D294F" w:rsidRPr="008D294F" w:rsidRDefault="008D294F" w:rsidP="00823993">
      <w:pPr>
        <w:jc w:val="both"/>
      </w:pPr>
      <w:r w:rsidRPr="008D294F">
        <w:t xml:space="preserve">Budowa węzła czarnobylskiego rozpoczęła się w marcu 1972 roku. Część nadawcza powstała niedaleko Czernihowa, w zamkniętym miasteczku </w:t>
      </w:r>
      <w:r w:rsidRPr="008D294F">
        <w:rPr>
          <w:b/>
          <w:bCs/>
        </w:rPr>
        <w:t>Lubecz-1</w:t>
      </w:r>
      <w:r w:rsidRPr="008D294F">
        <w:t xml:space="preserve">, a część odbiorcza koło </w:t>
      </w:r>
      <w:r w:rsidRPr="008D294F">
        <w:rPr>
          <w:b/>
          <w:bCs/>
        </w:rPr>
        <w:t>Czarnobyla</w:t>
      </w:r>
      <w:r w:rsidRPr="008D294F">
        <w:t xml:space="preserve">, w garnizonowym osiedlu nazwanym </w:t>
      </w:r>
      <w:r w:rsidRPr="008D294F">
        <w:rPr>
          <w:b/>
          <w:bCs/>
        </w:rPr>
        <w:t>Czarnobyl-2</w:t>
      </w:r>
      <w:r w:rsidRPr="008D294F">
        <w:t xml:space="preserve">. Oba elementy były oddalone od siebie o około </w:t>
      </w:r>
      <w:r w:rsidRPr="008D294F">
        <w:rPr>
          <w:b/>
          <w:bCs/>
        </w:rPr>
        <w:t>60 kilometrów</w:t>
      </w:r>
      <w:r w:rsidRPr="008D294F">
        <w:t xml:space="preserve"> i połączone linią kablową. W podobny sposób zorganizowano węzeł amurski: nadajnik zlokalizowano niedaleko wsi </w:t>
      </w:r>
      <w:r w:rsidRPr="008D294F">
        <w:rPr>
          <w:b/>
          <w:bCs/>
        </w:rPr>
        <w:t>Lian</w:t>
      </w:r>
      <w:r w:rsidRPr="008D294F">
        <w:t xml:space="preserve">, a odbiornik we wsi </w:t>
      </w:r>
      <w:proofErr w:type="spellStart"/>
      <w:r w:rsidRPr="008D294F">
        <w:rPr>
          <w:b/>
          <w:bCs/>
        </w:rPr>
        <w:t>Bolszaja</w:t>
      </w:r>
      <w:proofErr w:type="spellEnd"/>
      <w:r w:rsidRPr="008D294F">
        <w:rPr>
          <w:b/>
          <w:bCs/>
        </w:rPr>
        <w:t xml:space="preserve"> Kartel</w:t>
      </w:r>
      <w:r w:rsidRPr="008D294F">
        <w:t>.</w:t>
      </w:r>
    </w:p>
    <w:p w14:paraId="0C525B0F" w14:textId="77777777" w:rsidR="008D294F" w:rsidRPr="008D294F" w:rsidRDefault="008D294F" w:rsidP="00823993">
      <w:pPr>
        <w:jc w:val="both"/>
      </w:pPr>
      <w:r w:rsidRPr="008D294F">
        <w:t xml:space="preserve">Skala przedsięwzięcia była ogromna. W Czarnobylu wybudowano </w:t>
      </w:r>
      <w:r w:rsidRPr="008D294F">
        <w:rPr>
          <w:b/>
          <w:bCs/>
        </w:rPr>
        <w:t>dwie anteny odbiorcze</w:t>
      </w:r>
      <w:r w:rsidRPr="008D294F">
        <w:t xml:space="preserve">: większą o wysokości około </w:t>
      </w:r>
      <w:r w:rsidRPr="008D294F">
        <w:rPr>
          <w:b/>
          <w:bCs/>
        </w:rPr>
        <w:t>140 metrów</w:t>
      </w:r>
      <w:r w:rsidRPr="008D294F">
        <w:t xml:space="preserve"> i szerokości </w:t>
      </w:r>
      <w:r w:rsidRPr="008D294F">
        <w:rPr>
          <w:b/>
          <w:bCs/>
        </w:rPr>
        <w:t>500 metrów</w:t>
      </w:r>
      <w:r w:rsidRPr="008D294F">
        <w:t xml:space="preserve">, oraz mniejszą, o wysokości </w:t>
      </w:r>
      <w:r w:rsidRPr="008D294F">
        <w:rPr>
          <w:b/>
          <w:bCs/>
        </w:rPr>
        <w:t>80 metrów</w:t>
      </w:r>
      <w:r w:rsidRPr="008D294F">
        <w:t xml:space="preserve"> i szerokości </w:t>
      </w:r>
      <w:r w:rsidRPr="008D294F">
        <w:rPr>
          <w:b/>
          <w:bCs/>
        </w:rPr>
        <w:t>220 metrów</w:t>
      </w:r>
      <w:r w:rsidRPr="008D294F">
        <w:t xml:space="preserve">. W Lubeczu-1 stanęły z kolei </w:t>
      </w:r>
      <w:r w:rsidRPr="008D294F">
        <w:rPr>
          <w:b/>
          <w:bCs/>
        </w:rPr>
        <w:t>dwie anteny nadawcze</w:t>
      </w:r>
      <w:r w:rsidRPr="008D294F">
        <w:t xml:space="preserve">, również bardzo duże, choć nieco mniejsze od odbiorczych. Konstrukcja wymagała tysięcy ton stali ocynkowanej, a pojedynczy element wibratora ważył około </w:t>
      </w:r>
      <w:r w:rsidRPr="008D294F">
        <w:rPr>
          <w:b/>
          <w:bCs/>
        </w:rPr>
        <w:t>tony</w:t>
      </w:r>
      <w:r w:rsidRPr="008D294F">
        <w:t>. Z powodu niedoborów materiałowych konieczna była nawet decyzja na najwyższym szczeblu państwowym. Problemem było też zabezpieczenie antykorozyjne, które ostatecznie trzeba było organizować na miejscu, ponieważ zakład wyznaczony do jego wykonania odmówił współpracy.</w:t>
      </w:r>
    </w:p>
    <w:p w14:paraId="4E7BF616" w14:textId="5E285754" w:rsidR="008D294F" w:rsidRPr="008D294F" w:rsidRDefault="008D294F" w:rsidP="00823993">
      <w:pPr>
        <w:jc w:val="both"/>
      </w:pPr>
      <w:r w:rsidRPr="008D294F">
        <w:t xml:space="preserve">Sama aparatura była równie zaawansowana jak anteny. Nadajniki wykonano w </w:t>
      </w:r>
      <w:proofErr w:type="spellStart"/>
      <w:r w:rsidRPr="008D294F">
        <w:rPr>
          <w:b/>
          <w:bCs/>
        </w:rPr>
        <w:t>Dnieprowskim</w:t>
      </w:r>
      <w:proofErr w:type="spellEnd"/>
      <w:r w:rsidRPr="008D294F">
        <w:rPr>
          <w:b/>
          <w:bCs/>
        </w:rPr>
        <w:t xml:space="preserve"> Zakładzie Budowy Maszyn w Dniepropietrowsku</w:t>
      </w:r>
      <w:r w:rsidRPr="008D294F">
        <w:t xml:space="preserve">, natomiast aparaturę odbiorczą i obliczeniową przygotował zakład doświadczalny </w:t>
      </w:r>
      <w:r w:rsidRPr="008D294F">
        <w:rPr>
          <w:b/>
          <w:bCs/>
        </w:rPr>
        <w:t>NII-37</w:t>
      </w:r>
      <w:r w:rsidRPr="008D294F">
        <w:t xml:space="preserve">. Zanim system wszedł do próbnej eksploatacji, testowano go i dostrajano na stacji eksperymentalnej w </w:t>
      </w:r>
      <w:proofErr w:type="spellStart"/>
      <w:r w:rsidRPr="008D294F">
        <w:rPr>
          <w:b/>
          <w:bCs/>
        </w:rPr>
        <w:t>Mykołajowie</w:t>
      </w:r>
      <w:proofErr w:type="spellEnd"/>
      <w:r w:rsidRPr="008D294F">
        <w:t xml:space="preserve">. W 1976 roku węzeł czarnobylski rozpoczął próbną pracę, a pierwsze sygnały radiowe z tego obiektu zostały nadane </w:t>
      </w:r>
      <w:r w:rsidRPr="008D294F">
        <w:rPr>
          <w:b/>
          <w:bCs/>
        </w:rPr>
        <w:t>4</w:t>
      </w:r>
      <w:r w:rsidR="00823993">
        <w:rPr>
          <w:b/>
          <w:bCs/>
        </w:rPr>
        <w:t> </w:t>
      </w:r>
      <w:r w:rsidRPr="008D294F">
        <w:rPr>
          <w:b/>
          <w:bCs/>
        </w:rPr>
        <w:t>lipca 1976 roku</w:t>
      </w:r>
      <w:r w:rsidRPr="008D294F">
        <w:t>.</w:t>
      </w:r>
    </w:p>
    <w:p w14:paraId="049C8735" w14:textId="7CD6757E" w:rsidR="008D294F" w:rsidRPr="008D294F" w:rsidRDefault="008D294F" w:rsidP="00823993">
      <w:pPr>
        <w:jc w:val="both"/>
      </w:pPr>
      <w:r w:rsidRPr="008D294F">
        <w:t xml:space="preserve">W centrum obliczeniowym Dugi pracował komputer </w:t>
      </w:r>
      <w:r w:rsidRPr="008D294F">
        <w:rPr>
          <w:b/>
          <w:bCs/>
        </w:rPr>
        <w:t>K-340A</w:t>
      </w:r>
      <w:r w:rsidRPr="008D294F">
        <w:t>. Był to specjalnie zaprojektowany superkomputer dla systemów wczesnego ostrzegania, zbudowany całkowicie na elementach dyskretnych, a więc bez układów</w:t>
      </w:r>
      <w:r w:rsidR="00C42163">
        <w:t xml:space="preserve"> </w:t>
      </w:r>
      <w:r w:rsidR="00C42163" w:rsidRPr="008D294F">
        <w:t>scalonych</w:t>
      </w:r>
      <w:r w:rsidRPr="008D294F">
        <w:t xml:space="preserve">, które dziś kojarzą się z komputerami. K-340A </w:t>
      </w:r>
      <w:r w:rsidRPr="008D294F">
        <w:lastRenderedPageBreak/>
        <w:t xml:space="preserve">operował na </w:t>
      </w:r>
      <w:r w:rsidRPr="008D294F">
        <w:rPr>
          <w:b/>
          <w:bCs/>
        </w:rPr>
        <w:t>45-bitowych słowach</w:t>
      </w:r>
      <w:r w:rsidRPr="008D294F">
        <w:t xml:space="preserve"> i osiągał około </w:t>
      </w:r>
      <w:r w:rsidRPr="008D294F">
        <w:rPr>
          <w:b/>
          <w:bCs/>
        </w:rPr>
        <w:t>2,4 miliona operacji na sekundę</w:t>
      </w:r>
      <w:r w:rsidRPr="008D294F">
        <w:t xml:space="preserve">. Co istotne, wykorzystywał </w:t>
      </w:r>
      <w:r w:rsidRPr="008D294F">
        <w:rPr>
          <w:b/>
          <w:bCs/>
        </w:rPr>
        <w:t xml:space="preserve">arytmetykę systemu </w:t>
      </w:r>
      <w:proofErr w:type="spellStart"/>
      <w:r w:rsidRPr="008D294F">
        <w:rPr>
          <w:b/>
          <w:bCs/>
        </w:rPr>
        <w:t>resztowego</w:t>
      </w:r>
      <w:proofErr w:type="spellEnd"/>
      <w:r w:rsidRPr="008D294F">
        <w:t>, rozwiązanie bardzo nietypowe, ale przydatne tam, gdzie liczy się szybkie przetwarzanie dużych strumieni danych radarowych. Jego prototyp, T-340A, powstał w latach 1963–1964, a po dopracowaniu system wszedł do produkcji seryjnej. W</w:t>
      </w:r>
      <w:r w:rsidR="00823993">
        <w:t> </w:t>
      </w:r>
      <w:r w:rsidRPr="008D294F">
        <w:t xml:space="preserve">latach 1966–1973 wyprodukowano około </w:t>
      </w:r>
      <w:r w:rsidRPr="008D294F">
        <w:rPr>
          <w:b/>
          <w:bCs/>
        </w:rPr>
        <w:t>50 zestawów</w:t>
      </w:r>
      <w:r w:rsidRPr="008D294F">
        <w:t xml:space="preserve"> tych maszyn, instalowanych na radzieckich stacjach radiolokacyjnych.</w:t>
      </w:r>
    </w:p>
    <w:p w14:paraId="03FBAE3C" w14:textId="77777777" w:rsidR="008D294F" w:rsidRPr="008D294F" w:rsidRDefault="008D294F" w:rsidP="00823993">
      <w:pPr>
        <w:jc w:val="both"/>
      </w:pPr>
      <w:r w:rsidRPr="008D294F">
        <w:t xml:space="preserve">Duga pracowała w zakresie </w:t>
      </w:r>
      <w:r w:rsidRPr="008D294F">
        <w:rPr>
          <w:b/>
          <w:bCs/>
        </w:rPr>
        <w:t>3,26–17,54 MHz</w:t>
      </w:r>
      <w:r w:rsidRPr="008D294F">
        <w:t xml:space="preserve">, czyli w pasmach krótkofalowych. To właśnie te częstotliwości umożliwiały wykorzystanie jonosfery jako „zwierciadła”. Fala radiowa była wysyłana ku górze, odbijała się od warstw jonosfery i wracała na Ziemię wiele setek, a nawet kilka tysięcy kilometrów dalej. Po odbiciu od celu lub od obszaru obserwacji sygnał wracał podobną drogą do odbiornika. W praktyce nie była to prosta geometria: jonosfera zmienia swoją strukturę w ciągu dnia, w zależności od nasłonecznienia, aktywności słonecznej i warunków geofizycznych. Dlatego działanie radaru </w:t>
      </w:r>
      <w:proofErr w:type="spellStart"/>
      <w:r w:rsidRPr="008D294F">
        <w:t>pozahoryzontalnego</w:t>
      </w:r>
      <w:proofErr w:type="spellEnd"/>
      <w:r w:rsidRPr="008D294F">
        <w:t xml:space="preserve"> wymagało ciągłego dostrajania i skomplikowanych obliczeń.</w:t>
      </w:r>
    </w:p>
    <w:p w14:paraId="6957ED31" w14:textId="2AA36CD7" w:rsidR="008D294F" w:rsidRPr="008D294F" w:rsidRDefault="008D294F" w:rsidP="00823993">
      <w:pPr>
        <w:jc w:val="both"/>
      </w:pPr>
      <w:r w:rsidRPr="008D294F">
        <w:t xml:space="preserve">Właśnie ta technika sprawiła, że Duga była skuteczna, ale także kłopotliwa dla otoczenia. Jej emisja powodowała silne zakłócenia w pasmach krótkofalowych, a radioamatorzy na całym świecie słyszeli charakterystyczne, rytmiczne stukanie. Stąd wzięła się nazwa </w:t>
      </w:r>
      <w:r w:rsidRPr="008D294F">
        <w:rPr>
          <w:b/>
          <w:bCs/>
        </w:rPr>
        <w:t xml:space="preserve">„Russian </w:t>
      </w:r>
      <w:proofErr w:type="spellStart"/>
      <w:r w:rsidRPr="008D294F">
        <w:rPr>
          <w:b/>
          <w:bCs/>
        </w:rPr>
        <w:t>Woodpecker</w:t>
      </w:r>
      <w:proofErr w:type="spellEnd"/>
      <w:r w:rsidRPr="008D294F">
        <w:rPr>
          <w:b/>
          <w:bCs/>
        </w:rPr>
        <w:t>”</w:t>
      </w:r>
      <w:r w:rsidRPr="008D294F">
        <w:t xml:space="preserve">, czyli „rosyjski dzięcioł”. Częstotliwość impulsów wynosiła najczęściej około </w:t>
      </w:r>
      <w:r w:rsidRPr="008D294F">
        <w:rPr>
          <w:b/>
          <w:bCs/>
        </w:rPr>
        <w:t xml:space="preserve">10 </w:t>
      </w:r>
      <w:proofErr w:type="spellStart"/>
      <w:r w:rsidRPr="008D294F">
        <w:rPr>
          <w:b/>
          <w:bCs/>
        </w:rPr>
        <w:t>Hz</w:t>
      </w:r>
      <w:proofErr w:type="spellEnd"/>
      <w:r w:rsidRPr="008D294F">
        <w:t>, a sygnał był na tyle uporczywy, że zakłócał łączność amatorską, morską, lotniczą i cywilną. W</w:t>
      </w:r>
      <w:r w:rsidR="00823993">
        <w:t> </w:t>
      </w:r>
      <w:r w:rsidRPr="008D294F">
        <w:t>efekcie wywoływał protesty z wielu krajów.</w:t>
      </w:r>
    </w:p>
    <w:p w14:paraId="6D334FE2" w14:textId="07F0A606" w:rsidR="008D294F" w:rsidRDefault="008D294F" w:rsidP="00C42163">
      <w:pPr>
        <w:spacing w:line="276" w:lineRule="auto"/>
        <w:jc w:val="both"/>
      </w:pPr>
      <w:r w:rsidRPr="008D294F">
        <w:t xml:space="preserve">Z czasem system był modernizowany. W 1978 roku komisja państwowa nie przyjęła czarnobylskiej instalacji do służby, mimo kolejnych testów. W 1981 roku zdecydowano o modernizacji całego układu, obejmującej także badanie wpływu </w:t>
      </w:r>
      <w:r w:rsidRPr="008D294F">
        <w:rPr>
          <w:b/>
          <w:bCs/>
        </w:rPr>
        <w:t>jonosfery polarnej</w:t>
      </w:r>
      <w:r w:rsidRPr="008D294F">
        <w:t xml:space="preserve"> i rozwój nowych algorytmów obliczeniowych. Po modernizacji węzeł w Komsomolsku wszedł w 1982 roku do próbnego dyżuru bojowego, a prace zakończono w 1983. Ostatecznie jednak projekt nie przetrwał końca zimnej wojny. Po katastrofie w Czarnobylu w 1986 roku plany ponownego uruchomienia tamtejszego węzła zostały przekreślone, a w 1989 roku minister obrony wydał decyzję o wycofaniu z</w:t>
      </w:r>
      <w:r w:rsidR="00823993">
        <w:t> </w:t>
      </w:r>
      <w:r w:rsidRPr="008D294F">
        <w:t>eksploatacji węzła amurskiego.</w:t>
      </w:r>
    </w:p>
    <w:p w14:paraId="3469A869" w14:textId="4C79FFF9" w:rsidR="00C42163" w:rsidRPr="008D294F" w:rsidRDefault="00C42163" w:rsidP="00C42163">
      <w:pPr>
        <w:spacing w:line="276" w:lineRule="auto"/>
        <w:jc w:val="both"/>
      </w:pPr>
      <w:r w:rsidRPr="00C42163">
        <w:t>Według relacji z eksploatacji węzła w Komsomolsku nad Amurem zarejestrowano łącznie</w:t>
      </w:r>
      <w:r w:rsidRPr="00C42163">
        <w:rPr>
          <w:b/>
          <w:bCs/>
        </w:rPr>
        <w:t xml:space="preserve"> 20 startów rakiet z terenu USA</w:t>
      </w:r>
      <w:r w:rsidRPr="00C42163">
        <w:t>, w tym 15 międzykontynentalnych rakiet balistycznych oraz 5 rakiet nośnych. Pokazuje to, że radar miał realną wartość rozpoznawczą, choć nie spełniał wszystkich wymagań stawianych pełnowartościowemu systemowi wczesnego ostrzegania</w:t>
      </w:r>
      <w:r>
        <w:t>.</w:t>
      </w:r>
    </w:p>
    <w:p w14:paraId="648C7E32" w14:textId="5DA5D3D4" w:rsidR="008D294F" w:rsidRPr="008D294F" w:rsidRDefault="008D294F" w:rsidP="00C42163">
      <w:pPr>
        <w:spacing w:line="276" w:lineRule="auto"/>
        <w:jc w:val="both"/>
      </w:pPr>
      <w:r w:rsidRPr="008D294F">
        <w:t>Mimo że Duga nigdy nie stała się symbolem trwałego sukcesu technicznego, pozostaje jednym z</w:t>
      </w:r>
      <w:r w:rsidR="00823993">
        <w:t> </w:t>
      </w:r>
      <w:r w:rsidRPr="008D294F">
        <w:t>najbardziej fascynujących przykładów radzieckiej inżynierii wojskowej. Łączyła ogromne konstrukcje antenowe, wyspecjalizowaną elektronikę, nietypowe metody obliczeniowe i wiedzę o</w:t>
      </w:r>
      <w:r w:rsidR="00823993">
        <w:t> </w:t>
      </w:r>
      <w:r w:rsidRPr="008D294F">
        <w:t>propagacji fal w jonosferze. Była zarazem demonstracją ambicji epoki i przypomnieniem, jak bardzo technologia wojskowa zależy od zjawisk naturalnych, których nie da się całkowicie podporządkować człowiekowi.</w:t>
      </w:r>
    </w:p>
    <w:p w14:paraId="038BD6D9" w14:textId="24467C38" w:rsidR="00D8211D" w:rsidRDefault="00D8211D" w:rsidP="00823993">
      <w:pPr>
        <w:jc w:val="both"/>
      </w:pPr>
    </w:p>
    <w:sectPr w:rsidR="00D821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4F"/>
    <w:rsid w:val="002F5A81"/>
    <w:rsid w:val="004104D5"/>
    <w:rsid w:val="00777149"/>
    <w:rsid w:val="00823993"/>
    <w:rsid w:val="008D294F"/>
    <w:rsid w:val="0090695D"/>
    <w:rsid w:val="00C42163"/>
    <w:rsid w:val="00D8211D"/>
    <w:rsid w:val="00DF409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85F5"/>
  <w15:chartTrackingRefBased/>
  <w15:docId w15:val="{6F2140D5-A4B5-4A48-BE7D-C1EBCB86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D2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D2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D294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D294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D294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D294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D294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D294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D29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D294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D294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D294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D294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D294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D294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D294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D294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D294F"/>
    <w:rPr>
      <w:rFonts w:eastAsiaTheme="majorEastAsia" w:cstheme="majorBidi"/>
      <w:color w:val="272727" w:themeColor="text1" w:themeTint="D8"/>
    </w:rPr>
  </w:style>
  <w:style w:type="paragraph" w:styleId="Tytu">
    <w:name w:val="Title"/>
    <w:basedOn w:val="Normalny"/>
    <w:next w:val="Normalny"/>
    <w:link w:val="TytuZnak"/>
    <w:uiPriority w:val="10"/>
    <w:qFormat/>
    <w:rsid w:val="008D2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D294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D294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D294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D294F"/>
    <w:pPr>
      <w:spacing w:before="160"/>
      <w:jc w:val="center"/>
    </w:pPr>
    <w:rPr>
      <w:i/>
      <w:iCs/>
      <w:color w:val="404040" w:themeColor="text1" w:themeTint="BF"/>
    </w:rPr>
  </w:style>
  <w:style w:type="character" w:customStyle="1" w:styleId="CytatZnak">
    <w:name w:val="Cytat Znak"/>
    <w:basedOn w:val="Domylnaczcionkaakapitu"/>
    <w:link w:val="Cytat"/>
    <w:uiPriority w:val="29"/>
    <w:rsid w:val="008D294F"/>
    <w:rPr>
      <w:i/>
      <w:iCs/>
      <w:color w:val="404040" w:themeColor="text1" w:themeTint="BF"/>
    </w:rPr>
  </w:style>
  <w:style w:type="paragraph" w:styleId="Akapitzlist">
    <w:name w:val="List Paragraph"/>
    <w:basedOn w:val="Normalny"/>
    <w:uiPriority w:val="34"/>
    <w:qFormat/>
    <w:rsid w:val="008D294F"/>
    <w:pPr>
      <w:ind w:left="720"/>
      <w:contextualSpacing/>
    </w:pPr>
  </w:style>
  <w:style w:type="character" w:styleId="Wyrnienieintensywne">
    <w:name w:val="Intense Emphasis"/>
    <w:basedOn w:val="Domylnaczcionkaakapitu"/>
    <w:uiPriority w:val="21"/>
    <w:qFormat/>
    <w:rsid w:val="008D294F"/>
    <w:rPr>
      <w:i/>
      <w:iCs/>
      <w:color w:val="0F4761" w:themeColor="accent1" w:themeShade="BF"/>
    </w:rPr>
  </w:style>
  <w:style w:type="paragraph" w:styleId="Cytatintensywny">
    <w:name w:val="Intense Quote"/>
    <w:basedOn w:val="Normalny"/>
    <w:next w:val="Normalny"/>
    <w:link w:val="CytatintensywnyZnak"/>
    <w:uiPriority w:val="30"/>
    <w:qFormat/>
    <w:rsid w:val="008D2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D294F"/>
    <w:rPr>
      <w:i/>
      <w:iCs/>
      <w:color w:val="0F4761" w:themeColor="accent1" w:themeShade="BF"/>
    </w:rPr>
  </w:style>
  <w:style w:type="character" w:styleId="Odwoanieintensywne">
    <w:name w:val="Intense Reference"/>
    <w:basedOn w:val="Domylnaczcionkaakapitu"/>
    <w:uiPriority w:val="32"/>
    <w:qFormat/>
    <w:rsid w:val="008D2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976</Words>
  <Characters>5862</Characters>
  <Application>Microsoft Office Word</Application>
  <DocSecurity>0</DocSecurity>
  <Lines>48</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 Anonim</dc:creator>
  <cp:keywords/>
  <dc:description/>
  <cp:lastModifiedBy>Gall Anonim</cp:lastModifiedBy>
  <cp:revision>1</cp:revision>
  <dcterms:created xsi:type="dcterms:W3CDTF">2026-04-03T19:47:00Z</dcterms:created>
  <dcterms:modified xsi:type="dcterms:W3CDTF">2026-04-03T20:14:00Z</dcterms:modified>
</cp:coreProperties>
</file>