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86CF" w14:textId="77777777" w:rsidR="005653E1" w:rsidRPr="005653E1" w:rsidRDefault="005653E1" w:rsidP="005653E1">
      <w:r w:rsidRPr="005653E1">
        <w:rPr>
          <w:b/>
          <w:bCs/>
        </w:rPr>
        <w:t>INFORME DE GESTIÓN AMBIENTAL Y COMUNITARIA - Q1 2024</w:t>
      </w:r>
      <w:r w:rsidRPr="005653E1">
        <w:t xml:space="preserve"> </w:t>
      </w:r>
      <w:r w:rsidRPr="005653E1">
        <w:rPr>
          <w:b/>
          <w:bCs/>
        </w:rPr>
        <w:t>PARA:</w:t>
      </w:r>
      <w:r w:rsidRPr="005653E1">
        <w:t xml:space="preserve"> Gerencia General </w:t>
      </w:r>
      <w:r w:rsidRPr="005653E1">
        <w:rPr>
          <w:b/>
          <w:bCs/>
        </w:rPr>
        <w:t>DE:</w:t>
      </w:r>
      <w:r w:rsidRPr="005653E1">
        <w:t xml:space="preserve"> Gerencia de Medio Ambiente y Permisos </w:t>
      </w:r>
      <w:r w:rsidRPr="005653E1">
        <w:rPr>
          <w:b/>
          <w:bCs/>
        </w:rPr>
        <w:t>FECHA:</w:t>
      </w:r>
      <w:r w:rsidRPr="005653E1">
        <w:t xml:space="preserve"> 15 de Abril de 2024 </w:t>
      </w:r>
      <w:r w:rsidRPr="005653E1">
        <w:rPr>
          <w:b/>
          <w:bCs/>
        </w:rPr>
        <w:t>REFERENCIA:</w:t>
      </w:r>
      <w:r w:rsidRPr="005653E1">
        <w:t xml:space="preserve"> Resolución de Calificación Ambiental (RCA) N° 123/2018 - Proyecto Continuidad Operacional</w:t>
      </w:r>
    </w:p>
    <w:p w14:paraId="26E1A40C" w14:textId="77777777" w:rsidR="005653E1" w:rsidRPr="005653E1" w:rsidRDefault="005653E1" w:rsidP="005653E1">
      <w:r w:rsidRPr="005653E1">
        <w:rPr>
          <w:b/>
          <w:bCs/>
        </w:rPr>
        <w:t>1. RESUMEN EJECUTIVO</w:t>
      </w:r>
      <w:r w:rsidRPr="005653E1">
        <w:t xml:space="preserve"> El presente documento detalla el estado de avance de los compromisos adquiridos por </w:t>
      </w:r>
      <w:r w:rsidRPr="005653E1">
        <w:rPr>
          <w:b/>
          <w:bCs/>
        </w:rPr>
        <w:t>Minera Candelaria</w:t>
      </w:r>
      <w:r w:rsidRPr="005653E1">
        <w:t xml:space="preserve"> en el marco del </w:t>
      </w:r>
      <w:r w:rsidRPr="005653E1">
        <w:rPr>
          <w:b/>
          <w:bCs/>
        </w:rPr>
        <w:t>Proyecto</w:t>
      </w:r>
      <w:r w:rsidRPr="005653E1">
        <w:t xml:space="preserve"> "Candelaria 2030". Bajo la supervisión de la </w:t>
      </w:r>
      <w:r w:rsidRPr="005653E1">
        <w:rPr>
          <w:b/>
          <w:bCs/>
        </w:rPr>
        <w:t>Organización</w:t>
      </w:r>
      <w:r w:rsidRPr="005653E1">
        <w:t xml:space="preserve"> gubernamental </w:t>
      </w:r>
      <w:r w:rsidRPr="005653E1">
        <w:rPr>
          <w:b/>
          <w:bCs/>
        </w:rPr>
        <w:t>Superintendencia del Medio Ambiente (SMA)</w:t>
      </w:r>
      <w:r w:rsidRPr="005653E1">
        <w:t>, se han ejecutado diversas obras de mitigación.</w:t>
      </w:r>
    </w:p>
    <w:p w14:paraId="395F19AE" w14:textId="77777777" w:rsidR="005653E1" w:rsidRPr="005653E1" w:rsidRDefault="005653E1" w:rsidP="005653E1">
      <w:r w:rsidRPr="005653E1">
        <w:t xml:space="preserve">La Gerente de Medio Ambiente, </w:t>
      </w:r>
      <w:r w:rsidRPr="005653E1">
        <w:rPr>
          <w:b/>
          <w:bCs/>
        </w:rPr>
        <w:t>Javiera Silva</w:t>
      </w:r>
      <w:r w:rsidRPr="005653E1">
        <w:t xml:space="preserve">, quien </w:t>
      </w:r>
      <w:r w:rsidRPr="005653E1">
        <w:rPr>
          <w:b/>
          <w:bCs/>
        </w:rPr>
        <w:t>DIRIGE</w:t>
      </w:r>
      <w:r w:rsidRPr="005653E1">
        <w:t xml:space="preserve"> el equipo de cumplimiento, informa que los niveles de material particulado en la estación de monitoreo de Tierra Amarilla se han mantenido bajo la norma. Sin embargo, se reporta un incidente menor con la </w:t>
      </w:r>
      <w:r w:rsidRPr="005653E1">
        <w:rPr>
          <w:b/>
          <w:bCs/>
        </w:rPr>
        <w:t>Organización</w:t>
      </w:r>
      <w:r w:rsidRPr="005653E1">
        <w:t xml:space="preserve"> contratista </w:t>
      </w:r>
      <w:r w:rsidRPr="005653E1">
        <w:rPr>
          <w:b/>
          <w:bCs/>
        </w:rPr>
        <w:t>Transportes Tamarugal</w:t>
      </w:r>
      <w:r w:rsidRPr="005653E1">
        <w:t xml:space="preserve"> relacionado con el humectado de caminos, lo cual generó un </w:t>
      </w:r>
      <w:r w:rsidRPr="005653E1">
        <w:rPr>
          <w:b/>
          <w:bCs/>
        </w:rPr>
        <w:t>Costo</w:t>
      </w:r>
      <w:r w:rsidRPr="005653E1">
        <w:t xml:space="preserve"> operativo no planificado de multas internas.</w:t>
      </w:r>
    </w:p>
    <w:p w14:paraId="10690054" w14:textId="77777777" w:rsidR="005653E1" w:rsidRPr="005653E1" w:rsidRDefault="005653E1" w:rsidP="005653E1">
      <w:r w:rsidRPr="005653E1">
        <w:rPr>
          <w:b/>
          <w:bCs/>
        </w:rPr>
        <w:t>2. GESTIÓN DE RECURSOS HÍDRICOS</w:t>
      </w:r>
      <w:r w:rsidRPr="005653E1">
        <w:t xml:space="preserve"> Es fundamental destacar que el </w:t>
      </w:r>
      <w:r w:rsidRPr="005653E1">
        <w:rPr>
          <w:b/>
          <w:bCs/>
        </w:rPr>
        <w:t>Proyecto</w:t>
      </w:r>
      <w:r w:rsidRPr="005653E1">
        <w:t xml:space="preserve"> "Planta Desalinizadora" opera al 100% de su capacidad, eliminando la extracción de agua del acuífero del Río Copiapó. El ingeniero </w:t>
      </w:r>
      <w:r w:rsidRPr="005653E1">
        <w:rPr>
          <w:b/>
          <w:bCs/>
        </w:rPr>
        <w:t>Luis Opazo</w:t>
      </w:r>
      <w:r w:rsidRPr="005653E1">
        <w:t xml:space="preserve">, quien </w:t>
      </w:r>
      <w:r w:rsidRPr="005653E1">
        <w:rPr>
          <w:b/>
          <w:bCs/>
        </w:rPr>
        <w:t>DIRIGE</w:t>
      </w:r>
      <w:r w:rsidRPr="005653E1">
        <w:t xml:space="preserve"> las operaciones de planta, ha solicitado un aumento en el </w:t>
      </w:r>
      <w:r w:rsidRPr="005653E1">
        <w:rPr>
          <w:b/>
          <w:bCs/>
        </w:rPr>
        <w:t>Presupuesto</w:t>
      </w:r>
      <w:r w:rsidRPr="005653E1">
        <w:t xml:space="preserve"> de mantenimiento debido al incremento en el costo de energía suministrado por </w:t>
      </w:r>
      <w:r w:rsidRPr="005653E1">
        <w:rPr>
          <w:b/>
          <w:bCs/>
        </w:rPr>
        <w:t>AES Andes</w:t>
      </w:r>
      <w:r w:rsidRPr="005653E1">
        <w:t xml:space="preserve">. En reunión sostenida el 2024-03-20, </w:t>
      </w:r>
      <w:r w:rsidRPr="005653E1">
        <w:rPr>
          <w:b/>
          <w:bCs/>
        </w:rPr>
        <w:t>Javiera Silva</w:t>
      </w:r>
      <w:r w:rsidRPr="005653E1">
        <w:t xml:space="preserve"> y </w:t>
      </w:r>
      <w:r w:rsidRPr="005653E1">
        <w:rPr>
          <w:b/>
          <w:bCs/>
        </w:rPr>
        <w:t>Luis Opazo</w:t>
      </w:r>
      <w:r w:rsidRPr="005653E1">
        <w:t xml:space="preserve"> discutieron la necesidad de actualizar los filtros de ósmosis inversa. La empresa </w:t>
      </w:r>
      <w:r w:rsidRPr="005653E1">
        <w:rPr>
          <w:b/>
          <w:bCs/>
        </w:rPr>
        <w:t>Acciona Agua</w:t>
      </w:r>
      <w:r w:rsidRPr="005653E1">
        <w:t xml:space="preserve">, que </w:t>
      </w:r>
      <w:r w:rsidRPr="005653E1">
        <w:rPr>
          <w:b/>
          <w:bCs/>
        </w:rPr>
        <w:t>TIENE_COSTO</w:t>
      </w:r>
      <w:r w:rsidRPr="005653E1">
        <w:t xml:space="preserve"> asociado al contrato de mantenimiento mensual, ha presentado una propuesta técnica por un </w:t>
      </w:r>
      <w:r w:rsidRPr="005653E1">
        <w:rPr>
          <w:b/>
          <w:bCs/>
        </w:rPr>
        <w:t>Monto</w:t>
      </w:r>
      <w:r w:rsidRPr="005653E1">
        <w:t xml:space="preserve"> de </w:t>
      </w:r>
      <w:r w:rsidRPr="005653E1">
        <w:rPr>
          <w:b/>
          <w:bCs/>
        </w:rPr>
        <w:t>400.000</w:t>
      </w:r>
      <w:r w:rsidRPr="005653E1">
        <w:t xml:space="preserve"> dólares para la actualización tecnológica.</w:t>
      </w:r>
    </w:p>
    <w:p w14:paraId="273E615F" w14:textId="77777777" w:rsidR="005653E1" w:rsidRPr="005653E1" w:rsidRDefault="005653E1" w:rsidP="005653E1">
      <w:r w:rsidRPr="005653E1">
        <w:rPr>
          <w:b/>
          <w:bCs/>
        </w:rPr>
        <w:t>3. RELACIONES COMUNITARIAS</w:t>
      </w:r>
      <w:r w:rsidRPr="005653E1">
        <w:t xml:space="preserve"> La jefa de comunidades, </w:t>
      </w:r>
      <w:r w:rsidRPr="005653E1">
        <w:rPr>
          <w:b/>
          <w:bCs/>
        </w:rPr>
        <w:t>Marta Lagos</w:t>
      </w:r>
      <w:r w:rsidRPr="005653E1">
        <w:t xml:space="preserve">, reporta avances significativos en la mesa de diálogo con el municipio de Tierra Amarilla. Se ha ejecutado el 80% del </w:t>
      </w:r>
      <w:r w:rsidRPr="005653E1">
        <w:rPr>
          <w:b/>
          <w:bCs/>
        </w:rPr>
        <w:t>Presupuesto</w:t>
      </w:r>
      <w:r w:rsidRPr="005653E1">
        <w:t xml:space="preserve"> asignado para el fondo de desarrollo local. Específicamente, se menciona el </w:t>
      </w:r>
      <w:r w:rsidRPr="005653E1">
        <w:rPr>
          <w:b/>
          <w:bCs/>
        </w:rPr>
        <w:t>Proyecto</w:t>
      </w:r>
      <w:r w:rsidRPr="005653E1">
        <w:t xml:space="preserve"> "Capacitación Comunitaria", financiado íntegramente por </w:t>
      </w:r>
      <w:r w:rsidRPr="005653E1">
        <w:rPr>
          <w:b/>
          <w:bCs/>
        </w:rPr>
        <w:t>Lundin Mining</w:t>
      </w:r>
      <w:r w:rsidRPr="005653E1">
        <w:t xml:space="preserve">. Este programa ha tenido un </w:t>
      </w:r>
      <w:r w:rsidRPr="005653E1">
        <w:rPr>
          <w:b/>
          <w:bCs/>
        </w:rPr>
        <w:t>Costo</w:t>
      </w:r>
      <w:r w:rsidRPr="005653E1">
        <w:t xml:space="preserve"> de ejecución de </w:t>
      </w:r>
      <w:r w:rsidRPr="005653E1">
        <w:rPr>
          <w:b/>
          <w:bCs/>
        </w:rPr>
        <w:t>200.000</w:t>
      </w:r>
      <w:r w:rsidRPr="005653E1">
        <w:t xml:space="preserve"> dólares en el primer trimestre. </w:t>
      </w:r>
      <w:r w:rsidRPr="005653E1">
        <w:rPr>
          <w:b/>
          <w:bCs/>
        </w:rPr>
        <w:t>Marta Lagos</w:t>
      </w:r>
      <w:r w:rsidRPr="005653E1">
        <w:t xml:space="preserve"> enfatiza que la </w:t>
      </w:r>
      <w:r w:rsidRPr="005653E1">
        <w:rPr>
          <w:b/>
          <w:bCs/>
        </w:rPr>
        <w:t>Organización</w:t>
      </w:r>
      <w:r w:rsidRPr="005653E1">
        <w:t xml:space="preserve"> local "Junta de Vecinos Punta del Cobre" ha validado los avances.</w:t>
      </w:r>
    </w:p>
    <w:p w14:paraId="1F2A3E99" w14:textId="77777777" w:rsidR="005653E1" w:rsidRPr="005653E1" w:rsidRDefault="005653E1" w:rsidP="005653E1">
      <w:r w:rsidRPr="005653E1">
        <w:rPr>
          <w:b/>
          <w:bCs/>
        </w:rPr>
        <w:t>4. CONCLUSIONES</w:t>
      </w:r>
      <w:r w:rsidRPr="005653E1">
        <w:t xml:space="preserve"> Se recomienda aprobar la partida presupuestaria adicional solicitada por </w:t>
      </w:r>
      <w:r w:rsidRPr="005653E1">
        <w:rPr>
          <w:b/>
          <w:bCs/>
        </w:rPr>
        <w:t>Roberto Alarcón</w:t>
      </w:r>
      <w:r w:rsidRPr="005653E1">
        <w:t xml:space="preserve"> para la automatización de los reportes de emisiones. Si bien esto implica un </w:t>
      </w:r>
      <w:r w:rsidRPr="005653E1">
        <w:rPr>
          <w:b/>
          <w:bCs/>
        </w:rPr>
        <w:t>Costo</w:t>
      </w:r>
      <w:r w:rsidRPr="005653E1">
        <w:t xml:space="preserve"> inicial alto en licencias de software, reduce el riesgo de sanciones por parte de la autoridad.</w:t>
      </w:r>
    </w:p>
    <w:p w14:paraId="65048103" w14:textId="77777777" w:rsidR="00F207E6" w:rsidRDefault="00F207E6"/>
    <w:sectPr w:rsidR="00F207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CE7"/>
    <w:rsid w:val="005653E1"/>
    <w:rsid w:val="007C4484"/>
    <w:rsid w:val="00A4161E"/>
    <w:rsid w:val="00C539C1"/>
    <w:rsid w:val="00D54CE7"/>
    <w:rsid w:val="00F207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5A5D7-808E-4784-8E1F-0BAE2B4D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4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4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4CE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4CE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4CE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4C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4C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4C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4C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4CE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4CE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4CE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4CE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4CE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4C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4C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4C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4CE7"/>
    <w:rPr>
      <w:rFonts w:eastAsiaTheme="majorEastAsia" w:cstheme="majorBidi"/>
      <w:color w:val="272727" w:themeColor="text1" w:themeTint="D8"/>
    </w:rPr>
  </w:style>
  <w:style w:type="paragraph" w:styleId="Ttulo">
    <w:name w:val="Title"/>
    <w:basedOn w:val="Normal"/>
    <w:next w:val="Normal"/>
    <w:link w:val="TtuloCar"/>
    <w:uiPriority w:val="10"/>
    <w:qFormat/>
    <w:rsid w:val="00D54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4C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4C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4C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4CE7"/>
    <w:pPr>
      <w:spacing w:before="160"/>
      <w:jc w:val="center"/>
    </w:pPr>
    <w:rPr>
      <w:i/>
      <w:iCs/>
      <w:color w:val="404040" w:themeColor="text1" w:themeTint="BF"/>
    </w:rPr>
  </w:style>
  <w:style w:type="character" w:customStyle="1" w:styleId="CitaCar">
    <w:name w:val="Cita Car"/>
    <w:basedOn w:val="Fuentedeprrafopredeter"/>
    <w:link w:val="Cita"/>
    <w:uiPriority w:val="29"/>
    <w:rsid w:val="00D54CE7"/>
    <w:rPr>
      <w:i/>
      <w:iCs/>
      <w:color w:val="404040" w:themeColor="text1" w:themeTint="BF"/>
    </w:rPr>
  </w:style>
  <w:style w:type="paragraph" w:styleId="Prrafodelista">
    <w:name w:val="List Paragraph"/>
    <w:basedOn w:val="Normal"/>
    <w:uiPriority w:val="34"/>
    <w:qFormat/>
    <w:rsid w:val="00D54CE7"/>
    <w:pPr>
      <w:ind w:left="720"/>
      <w:contextualSpacing/>
    </w:pPr>
  </w:style>
  <w:style w:type="character" w:styleId="nfasisintenso">
    <w:name w:val="Intense Emphasis"/>
    <w:basedOn w:val="Fuentedeprrafopredeter"/>
    <w:uiPriority w:val="21"/>
    <w:qFormat/>
    <w:rsid w:val="00D54CE7"/>
    <w:rPr>
      <w:i/>
      <w:iCs/>
      <w:color w:val="2F5496" w:themeColor="accent1" w:themeShade="BF"/>
    </w:rPr>
  </w:style>
  <w:style w:type="paragraph" w:styleId="Citadestacada">
    <w:name w:val="Intense Quote"/>
    <w:basedOn w:val="Normal"/>
    <w:next w:val="Normal"/>
    <w:link w:val="CitadestacadaCar"/>
    <w:uiPriority w:val="30"/>
    <w:qFormat/>
    <w:rsid w:val="00D54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4CE7"/>
    <w:rPr>
      <w:i/>
      <w:iCs/>
      <w:color w:val="2F5496" w:themeColor="accent1" w:themeShade="BF"/>
    </w:rPr>
  </w:style>
  <w:style w:type="character" w:styleId="Referenciaintensa">
    <w:name w:val="Intense Reference"/>
    <w:basedOn w:val="Fuentedeprrafopredeter"/>
    <w:uiPriority w:val="32"/>
    <w:qFormat/>
    <w:rsid w:val="00D54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2131</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IGNACIO CERDA BAEZ</dc:creator>
  <cp:keywords/>
  <dc:description/>
  <cp:lastModifiedBy>BASTIAN IGNACIO CERDA BAEZ</cp:lastModifiedBy>
  <cp:revision>2</cp:revision>
  <dcterms:created xsi:type="dcterms:W3CDTF">2025-11-23T22:22:00Z</dcterms:created>
  <dcterms:modified xsi:type="dcterms:W3CDTF">2025-11-23T22:22:00Z</dcterms:modified>
</cp:coreProperties>
</file>