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3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15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16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13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6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14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2.2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8"/>
                  </w:numPr>
                  <w:spacing w:line="36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9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12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11-11-2024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11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5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7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5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Consultas al profesor sobre el formato y contenido de la presentación final.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Coordinación para el envío de vídeos de demostración sobre ETL y dashboards.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 equipo planteó varias preguntas al profesor relacionadas con los requisitos y el formato de la presentación final de la  evaluación 2.2</w:t>
            </w:r>
          </w:p>
          <w:p w:rsidR="00000000" w:rsidDel="00000000" w:rsidP="00000000" w:rsidRDefault="00000000" w:rsidRPr="00000000" w14:paraId="0000003D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045"/>
        <w:gridCol w:w="7290"/>
        <w:tblGridChange w:id="0">
          <w:tblGrid>
            <w:gridCol w:w="3045"/>
            <w:gridCol w:w="729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17"/>
              </w:numPr>
              <w:ind w:right="-15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Envío de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Enviar videos de demostración de ETL y dashboards durante la semana para recibir feedback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Envío de Videos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reunión fue productiva y permitió al equipo aclarar dudas sobre la presentación final. El profesor sugirió que los videos mostraran ejemplos claros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0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7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7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17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LyjRG+TZHCGv4bc2Gecp4LG5WQ==">CgMxLjAaHgoBMBIZChcICVITChF0YWJsZS5heGhyaW9raWc2bTgAciExQm93WXJfNGhTNGt3QVNydlpfOGhITDVYTXVrVnhpV3Q=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