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Minuta de Reunión</w:t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11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7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8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5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14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6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3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16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17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4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10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02-12-2024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3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13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15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Dudas sobre algunos documentos que se avanzaron en la semana pasada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discutieron puntos específicos de los documentos que se realizaron para obtener una retroalimentación del profe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5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105"/>
        <w:gridCol w:w="7230"/>
        <w:tblGridChange w:id="0">
          <w:tblGrid>
            <w:gridCol w:w="3105"/>
            <w:gridCol w:w="723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</w:t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Correcciones en documentos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las mejoras dichas por el profesor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los errores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9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9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9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SMjLTwo6bc5pRAvp2Hfe1rNOg==">CgMxLjAaHgoBMBIZChcICVITChF0YWJsZS5heGhyaW9raWc2bTgAciExZUUzbWdVaVJoZ1htbXE0b2ZOcm9KZ1d0NnN1NmdGbGI=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