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Default Extension="jpeg" ContentType="image/jpeg"/>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20"/>
        <w:jc w:val="center"/>
      </w:pPr>
      <w:r>
        <w:drawing>
          <wp:inline distT="0" distB="0" distL="0" distR="0">
            <wp:extent cx="1152000" cy="968309"/>
            <wp:docPr id="1" name="Logo Universidad de La Frontera" descr="Logo Universidad de La Frontera"/>
            <a:graphic>
              <a:graphicData uri="http://schemas.openxmlformats.org/drawingml/2006/picture">
                <pic:pic>
                  <pic:nvPicPr>
                    <pic:cNvPr id="0" name="Logo Universidad de La Frontera"/>
                    <pic:cNvPicPr/>
                  </pic:nvPicPr>
                  <pic:blipFill>
                    <a:blip r:embed="rId4"/>
                    <a:stretch>
                      <a:fillRect/>
                    </a:stretch>
                  </pic:blipFill>
                  <pic:spPr>
                    <a:xfrm>
                      <a:off x="0" y="0"/>
                      <a:ext cx="1152000" cy="968309"/>
                    </a:xfrm>
                    <a:prstGeom prst="rect">
                      <a:avLst/>
                    </a:prstGeom>
                  </pic:spPr>
                </pic:pic>
              </a:graphicData>
            </a:graphic>
          </wp:inline>
        </w:drawing>
      </w:r>
    </w:p>
    <w:p>
      <w:pPr>
        <w:pStyle w:val="Portada"/>
      </w:pPr>
      <w:r>
        <w:t xml:space="preserve">UNIVERSIDAD DE LA FRONTERA</w:t>
      </w:r>
    </w:p>
    <w:p>
      <w:pPr>
        <w:pStyle w:val="Portada"/>
      </w:pPr>
      <w:r>
        <w:t xml:space="preserve">FACULTAD DE INGENIERÍA Y CIENCIAS</w:t>
      </w:r>
    </w:p>
    <w:p/>
    <w:p/>
    <w:p>
      <w:pPr>
        <w:pStyle w:val="Portada"/>
      </w:pPr>
      <w:r>
        <w:t xml:space="preserve">PROPUESTA DE UN SISTEMA DE GESTIÓN DE RIESGOS PARA LOS MACROPROCESOS DE GESTIÓN DE PERSONAS (MP8) Y SERVICIOS GENERALES (MP21) DE CELULOSA ARAUCO Y CONSTITUCIÓN S.A.</w:t>
      </w:r>
    </w:p>
    <w:p/>
    <w:p/>
    <w:p>
      <w:pPr>
        <w:pStyle w:val="Portada"/>
      </w:pPr>
      <w:r>
        <w:t xml:space="preserve">TRABAJO FINAL PARA OBTENER EL GRADO DE</w:t>
      </w:r>
    </w:p>
    <w:p>
      <w:pPr>
        <w:pStyle w:val="Portada"/>
      </w:pPr>
      <w:r>
        <w:t xml:space="preserve">MAGISTER EN SISTEMAS DE GESTIÓN INTEGRAL DE LA CALIDAD</w:t>
      </w:r>
    </w:p>
    <w:p/>
    <w:p/>
    <w:p>
      <w:pPr>
        <w:pStyle w:val="Portada"/>
      </w:pPr>
      <w:r>
        <w:t xml:space="preserve">BASTIÁN DARWIT VERA</w:t>
      </w:r>
    </w:p>
    <w:p/>
    <w:p>
      <w:pPr>
        <w:pStyle w:val="Portada"/>
      </w:pPr>
      <w:r>
        <w:t xml:space="preserve">PROFESOR GUÍA: CARLOS MUÑOZ P.</w:t>
      </w:r>
    </w:p>
    <w:p>
      <w:pPr>
        <w:pStyle w:val="Portada"/>
      </w:pPr>
      <w:r>
        <w:t xml:space="preserve">PROFESOR CO-GUÍA: MANUEL ECHIBURÚ F.</w:t>
      </w:r>
    </w:p>
    <w:p/>
    <w:p/>
    <w:p>
      <w:pPr>
        <w:pStyle w:val="Portada"/>
      </w:pPr>
      <w:r>
        <w:t xml:space="preserve">Temuco, septiembre 2026</w:t>
      </w:r>
    </w:p>
    <w:p>
      <w:pPr>
        <w:pageBreakBefore/>
      </w:pPr>
    </w:p>
    <w:p>
      <w:pPr>
        <w:pageBreakBefore/>
      </w:pPr>
    </w:p>
    <w:p>
      <w:pPr>
        <w:spacing w:after="120"/>
        <w:jc w:val="center"/>
      </w:pPr>
      <w:r>
        <w:drawing>
          <wp:inline distT="0" distB="0" distL="0" distR="0">
            <wp:extent cx="1152000" cy="968309"/>
            <wp:docPr id="1" name="Logo Universidad de La Frontera" descr="Logo Universidad de La Frontera"/>
            <a:graphic>
              <a:graphicData uri="http://schemas.openxmlformats.org/drawingml/2006/picture">
                <pic:pic>
                  <pic:nvPicPr>
                    <pic:cNvPr id="0" name="Logo Universidad de La Frontera"/>
                    <pic:cNvPicPr/>
                  </pic:nvPicPr>
                  <pic:blipFill>
                    <a:blip r:embed="rId4"/>
                    <a:stretch>
                      <a:fillRect/>
                    </a:stretch>
                  </pic:blipFill>
                  <pic:spPr>
                    <a:xfrm>
                      <a:off x="0" y="0"/>
                      <a:ext cx="1152000" cy="968309"/>
                    </a:xfrm>
                    <a:prstGeom prst="rect">
                      <a:avLst/>
                    </a:prstGeom>
                  </pic:spPr>
                </pic:pic>
              </a:graphicData>
            </a:graphic>
          </wp:inline>
        </w:drawing>
      </w:r>
    </w:p>
    <w:p>
      <w:pPr>
        <w:pStyle w:val="Portada"/>
      </w:pPr>
      <w:r>
        <w:t xml:space="preserve">UNIVERSIDAD DE LA FRONTERA</w:t>
      </w:r>
    </w:p>
    <w:p>
      <w:pPr>
        <w:pStyle w:val="Portada"/>
      </w:pPr>
      <w:r>
        <w:t xml:space="preserve">FACULTAD DE INGENIERÍA Y CIENCIAS</w:t>
      </w:r>
    </w:p>
    <w:p/>
    <w:p/>
    <w:p>
      <w:pPr>
        <w:pStyle w:val="Portada"/>
      </w:pPr>
      <w:r>
        <w:t xml:space="preserve">PROPUESTA DE UN SISTEMA DE GESTIÓN DE RIESGOS PARA LOS MACROPROCESOS DE GESTIÓN DE PERSONAS (MP8) Y SERVICIOS GENERALES (MP21) DE CELULOSA ARAUCO Y CONSTITUCIÓN S.A.</w:t>
      </w:r>
    </w:p>
    <w:p/>
    <w:p/>
    <w:p>
      <w:pPr>
        <w:pStyle w:val="Portada"/>
      </w:pPr>
      <w:r>
        <w:t xml:space="preserve">BASTIÁN DARWIT VERA</w:t>
      </w:r>
    </w:p>
    <w:p/>
    <w:p>
      <w:pPr>
        <w:pStyle w:val="Portada"/>
      </w:pPr>
      <w:r>
        <w:t xml:space="preserve">PROFESOR GUÍA: CARLOS MUÑOZ P.</w:t>
      </w:r>
    </w:p>
    <w:p>
      <w:pPr>
        <w:pStyle w:val="Portada"/>
      </w:pPr>
      <w:r>
        <w:t xml:space="preserve">PROFESOR CO-GUÍA: MANUEL ECHIBURÚ F.</w:t>
      </w:r>
    </w:p>
    <w:p/>
    <w:p/>
    <w:p>
      <w:pPr>
        <w:pStyle w:val="Portada"/>
      </w:pPr>
      <w:r>
        <w:t xml:space="preserve">Temuco, septiembre 2026</w:t>
      </w:r>
    </w:p>
    <w:p>
      <w:pPr>
        <w:pageBreakBefore/>
      </w:pPr>
    </w:p>
    <w:p>
      <w:pPr>
        <w:spacing w:after="120"/>
        <w:jc w:val="center"/>
      </w:pPr>
      <w:r>
        <w:drawing>
          <wp:inline distT="0" distB="0" distL="0" distR="0">
            <wp:extent cx="1152000" cy="968309"/>
            <wp:docPr id="1" name="Logo Universidad de La Frontera" descr="Logo Universidad de La Frontera"/>
            <a:graphic>
              <a:graphicData uri="http://schemas.openxmlformats.org/drawingml/2006/picture">
                <pic:pic>
                  <pic:nvPicPr>
                    <pic:cNvPr id="0" name="Logo Universidad de La Frontera"/>
                    <pic:cNvPicPr/>
                  </pic:nvPicPr>
                  <pic:blipFill>
                    <a:blip r:embed="rId4"/>
                    <a:stretch>
                      <a:fillRect/>
                    </a:stretch>
                  </pic:blipFill>
                  <pic:spPr>
                    <a:xfrm>
                      <a:off x="0" y="0"/>
                      <a:ext cx="1152000" cy="968309"/>
                    </a:xfrm>
                    <a:prstGeom prst="rect">
                      <a:avLst/>
                    </a:prstGeom>
                  </pic:spPr>
                </pic:pic>
              </a:graphicData>
            </a:graphic>
          </wp:inline>
        </w:drawing>
      </w:r>
    </w:p>
    <w:p>
      <w:pPr>
        <w:pStyle w:val="Portada"/>
      </w:pPr>
      <w:r>
        <w:t xml:space="preserve">UNIVERSIDAD DE LA FRONTERA</w:t>
      </w:r>
    </w:p>
    <w:p>
      <w:pPr>
        <w:pStyle w:val="Portada"/>
      </w:pPr>
      <w:r>
        <w:t xml:space="preserve">FACULTAD DE INGENIERÍA Y CIENCIAS</w:t>
      </w:r>
    </w:p>
    <w:p/>
    <w:p>
      <w:pPr>
        <w:pStyle w:val="Portada"/>
      </w:pPr>
      <w:r>
        <w:t xml:space="preserve">PROPUESTA DE UN SISTEMA DE GESTIÓN DE RIESGOS PARA LOS MACROPROCESOS DE GESTIÓN DE PERSONAS (MP8) Y SERVICIOS GENERALES (MP21) DE CELULOSA ARAUCO Y CONSTITUCIÓN S.A.</w:t>
      </w:r>
    </w:p>
    <w:p/>
    <w:p>
      <w:pPr>
        <w:pStyle w:val="Portada"/>
      </w:pPr>
      <w:r>
        <w:t xml:space="preserve">BASTIÁN DARWIT VERA</w:t>
      </w:r>
    </w:p>
    <w:p/>
    <w:p>
      <w:pPr>
        <w:pStyle w:val="Portada"/>
      </w:pPr>
      <w:r>
        <w:t xml:space="preserve">COMISIÓN EVALUADORA</w:t>
      </w:r>
    </w:p>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560"/>
        <w:gridCol w:w="4560"/>
      </w:tblGrid>
      <w:tr>
        <w:tc>
          <w:tcPr>
            <w:tcW w:w="4560" w:type="dxa"/>
            <w:vAlign w:val="center"/>
          </w:tcPr>
          <w:p>
            <w:pPr>
              <w:spacing w:before="20" w:after="20" w:line="240" w:lineRule="auto"/>
              <w:jc w:val="center"/>
              <w:rPr>
                <w:sz w:val="22"/>
                <w:szCs w:val="22"/>
              </w:rPr>
            </w:pPr>
            <w:r>
              <w:rPr>
                <w:sz w:val="22"/>
                <w:szCs w:val="22"/>
              </w:rPr>
              <w:t xml:space="preserve">___________________________</w:t>
            </w:r>
          </w:p>
        </w:tc>
        <w:tc>
          <w:tcPr>
            <w:tcW w:w="4560" w:type="dxa"/>
            <w:vAlign w:val="center"/>
          </w:tcPr>
          <w:p>
            <w:pPr>
              <w:spacing w:before="20" w:after="20" w:line="240" w:lineRule="auto"/>
              <w:jc w:val="center"/>
              <w:rPr>
                <w:sz w:val="22"/>
                <w:szCs w:val="22"/>
              </w:rPr>
            </w:pPr>
            <w:r>
              <w:rPr>
                <w:sz w:val="22"/>
                <w:szCs w:val="22"/>
              </w:rPr>
              <w:t xml:space="preserve">___________________________</w:t>
            </w:r>
          </w:p>
        </w:tc>
      </w:tr>
      <w:tr>
        <w:tc>
          <w:tcPr>
            <w:tcW w:w="4560" w:type="dxa"/>
            <w:vAlign w:val="center"/>
          </w:tcPr>
          <w:p>
            <w:pPr>
              <w:spacing w:before="20" w:after="20" w:line="240" w:lineRule="auto"/>
              <w:jc w:val="center"/>
              <w:rPr>
                <w:sz w:val="22"/>
                <w:szCs w:val="22"/>
              </w:rPr>
            </w:pPr>
            <w:r>
              <w:rPr>
                <w:sz w:val="22"/>
                <w:szCs w:val="22"/>
              </w:rPr>
              <w:t xml:space="preserve">CARLOS MUÑOZ P.
Profesor Guía</w:t>
            </w:r>
          </w:p>
        </w:tc>
        <w:tc>
          <w:tcPr>
            <w:tcW w:w="4560" w:type="dxa"/>
            <w:vAlign w:val="center"/>
          </w:tcPr>
          <w:p>
            <w:pPr>
              <w:spacing w:before="20" w:after="20" w:line="240" w:lineRule="auto"/>
              <w:jc w:val="center"/>
              <w:rPr>
                <w:sz w:val="22"/>
                <w:szCs w:val="22"/>
              </w:rPr>
            </w:pPr>
            <w:r>
              <w:rPr>
                <w:sz w:val="22"/>
                <w:szCs w:val="22"/>
              </w:rPr>
              <w:t xml:space="preserve">Profesor Examinador Externo</w:t>
            </w:r>
          </w:p>
        </w:tc>
      </w:tr>
      <w:tr>
        <w:tc>
          <w:tcPr>
            <w:tcW w:w="4560" w:type="dxa"/>
            <w:vAlign w:val="center"/>
          </w:tcPr>
          <w:p>
            <w:pPr>
              <w:spacing w:before="20" w:after="20" w:line="240" w:lineRule="auto"/>
              <w:jc w:val="center"/>
              <w:rPr>
                <w:sz w:val="22"/>
                <w:szCs w:val="22"/>
              </w:rPr>
            </w:pPr>
            <w:r>
              <w:rPr>
                <w:sz w:val="22"/>
                <w:szCs w:val="22"/>
              </w:rPr>
              <w:t xml:space="preserve">___________________________</w:t>
            </w:r>
          </w:p>
        </w:tc>
        <w:tc>
          <w:tcPr>
            <w:tcW w:w="4560" w:type="dxa"/>
            <w:vAlign w:val="center"/>
          </w:tcPr>
          <w:p>
            <w:pPr>
              <w:spacing w:before="20" w:after="20" w:line="240" w:lineRule="auto"/>
              <w:jc w:val="center"/>
              <w:rPr>
                <w:sz w:val="22"/>
                <w:szCs w:val="22"/>
              </w:rPr>
            </w:pPr>
            <w:r>
              <w:rPr>
                <w:sz w:val="22"/>
                <w:szCs w:val="22"/>
              </w:rPr>
              <w:t xml:space="preserve">___________________________</w:t>
            </w:r>
          </w:p>
        </w:tc>
      </w:tr>
      <w:tr>
        <w:tc>
          <w:tcPr>
            <w:tcW w:w="4560" w:type="dxa"/>
            <w:vAlign w:val="center"/>
          </w:tcPr>
          <w:p>
            <w:pPr>
              <w:spacing w:before="20" w:after="20" w:line="240" w:lineRule="auto"/>
              <w:jc w:val="center"/>
              <w:rPr>
                <w:sz w:val="22"/>
                <w:szCs w:val="22"/>
              </w:rPr>
            </w:pPr>
            <w:r>
              <w:rPr>
                <w:sz w:val="22"/>
                <w:szCs w:val="22"/>
              </w:rPr>
              <w:t xml:space="preserve">MANUEL ECHIBURÚ F.
Profesor Co-guía</w:t>
            </w:r>
          </w:p>
        </w:tc>
        <w:tc>
          <w:tcPr>
            <w:tcW w:w="4560" w:type="dxa"/>
            <w:vAlign w:val="center"/>
          </w:tcPr>
          <w:p>
            <w:pPr>
              <w:spacing w:before="20" w:after="20" w:line="240" w:lineRule="auto"/>
              <w:jc w:val="center"/>
              <w:rPr>
                <w:sz w:val="22"/>
                <w:szCs w:val="22"/>
              </w:rPr>
            </w:pPr>
            <w:r>
              <w:rPr>
                <w:sz w:val="22"/>
                <w:szCs w:val="22"/>
              </w:rPr>
              <w:t xml:space="preserve">Profesor Examinador</w:t>
            </w:r>
          </w:p>
        </w:tc>
      </w:tr>
    </w:tbl>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560"/>
        <w:gridCol w:w="4560"/>
      </w:tblGrid>
      <w:tr>
        <w:tc>
          <w:tcPr>
            <w:tcW w:w="4560" w:type="dxa"/>
            <w:vAlign w:val="center"/>
          </w:tcPr>
          <w:p>
            <w:pPr>
              <w:spacing w:before="20" w:after="20" w:line="240" w:lineRule="auto"/>
              <w:jc w:val="left"/>
              <w:rPr>
                <w:sz w:val="22"/>
                <w:szCs w:val="22"/>
              </w:rPr>
            </w:pPr>
            <w:r>
              <w:rPr>
                <w:sz w:val="22"/>
                <w:szCs w:val="22"/>
              </w:rPr>
              <w:t xml:space="preserve">Nota trabajo escrito</w:t>
            </w:r>
          </w:p>
        </w:tc>
        <w:tc>
          <w:tcPr>
            <w:tcW w:w="4560" w:type="dxa"/>
            <w:vAlign w:val="center"/>
          </w:tcPr>
          <w:p>
            <w:pPr>
              <w:spacing w:before="20" w:after="20" w:line="240" w:lineRule="auto"/>
              <w:jc w:val="left"/>
              <w:rPr>
                <w:sz w:val="22"/>
                <w:szCs w:val="22"/>
              </w:rPr>
            </w:pPr>
          </w:p>
        </w:tc>
      </w:tr>
      <w:tr>
        <w:tc>
          <w:tcPr>
            <w:tcW w:w="4560" w:type="dxa"/>
            <w:vAlign w:val="center"/>
          </w:tcPr>
          <w:p>
            <w:pPr>
              <w:spacing w:before="20" w:after="20" w:line="240" w:lineRule="auto"/>
              <w:jc w:val="left"/>
              <w:rPr>
                <w:sz w:val="22"/>
                <w:szCs w:val="22"/>
              </w:rPr>
            </w:pPr>
            <w:r>
              <w:rPr>
                <w:sz w:val="22"/>
                <w:szCs w:val="22"/>
              </w:rPr>
              <w:t xml:space="preserve">Nota examen</w:t>
            </w:r>
          </w:p>
        </w:tc>
        <w:tc>
          <w:tcPr>
            <w:tcW w:w="4560" w:type="dxa"/>
            <w:vAlign w:val="center"/>
          </w:tcPr>
          <w:p>
            <w:pPr>
              <w:spacing w:before="20" w:after="20" w:line="240" w:lineRule="auto"/>
              <w:jc w:val="left"/>
              <w:rPr>
                <w:sz w:val="22"/>
                <w:szCs w:val="22"/>
              </w:rPr>
            </w:pPr>
          </w:p>
        </w:tc>
      </w:tr>
    </w:tbl>
    <w:p>
      <w:pPr>
        <w:sectPr>
          <w:pgSz w:w="12240" w:h="15840"/>
          <w:pgMar w:top="1417" w:right="1417" w:bottom="1417" w:left="1701" w:header="708" w:footer="708" w:gutter="0"/>
          <w:docGrid w:linePitch="360"/>
        </w:sectPr>
      </w:pPr>
    </w:p>
    <w:p>
      <w:pPr>
        <w:pStyle w:val="Heading1"/>
        <w:pageBreakBefore w:val="false"/>
      </w:pPr>
      <w:r>
        <w:t xml:space="preserve">ÍNDICE DE CONTENIDOS</w:t>
      </w:r>
    </w:p>
    <w:p>
      <w:pPr>
        <w:pStyle w:val="TOC1"/>
      </w:pPr>
      <w:fldSimple w:dirty="true" w:instr=" TOC \o &quot;1-3&quot; \h \z \u ">
        <w:r>
          <w:t xml:space="preserve">Word genera este índice automáticamente al abrir el documento; si no aparece, actualícelo con F9.</w:t>
        </w:r>
      </w:fldSimple>
    </w:p>
    <w:p>
      <w:pPr>
        <w:pStyle w:val="Heading1"/>
      </w:pPr>
      <w:r>
        <w:t xml:space="preserve">ÍNDICE DE TABLAS</w:t>
      </w:r>
    </w:p>
    <w:p>
      <w:pPr>
        <w:pStyle w:val="TOC1"/>
      </w:pPr>
      <w:fldSimple w:dirty="true" w:instr=" TOC \h \z \c &quot;Tabla&quot; ">
        <w:r>
          <w:t xml:space="preserve">Word genera este índice automáticamente al abrir el documento; si no aparece, actualícelo con F9.</w:t>
        </w:r>
      </w:fldSimple>
    </w:p>
    <w:p>
      <w:pPr>
        <w:pStyle w:val="Heading1"/>
      </w:pPr>
      <w:r>
        <w:t xml:space="preserve">ÍNDICE DE FIGURAS</w:t>
      </w:r>
    </w:p>
    <w:p>
      <w:pPr>
        <w:pStyle w:val="TOC1"/>
      </w:pPr>
      <w:fldSimple w:dirty="true" w:instr=" TOC \h \z \c &quot;Figura&quot; ">
        <w:r>
          <w:t xml:space="preserve">Word genera este índice automáticamente al abrir el documento; si no aparece, actualícelo con F9.</w:t>
        </w:r>
      </w:fldSimple>
    </w:p>
    <w:p>
      <w:pPr>
        <w:pStyle w:val="Heading1"/>
      </w:pPr>
      <w:r>
        <w:t xml:space="preserve">GLOSARIO</w:t>
      </w:r>
    </w:p>
    <w:p>
      <w:r>
        <w:t xml:space="preserve">En el presente informe se emplean las siguientes siglas y términos:</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900"/>
        <w:gridCol w:w="7220"/>
      </w:tblGrid>
      <w:tr>
        <w:trPr>
          <w:tblHeader/>
        </w:trPr>
        <w:tc>
          <w:tcPr>
            <w:tcW w:w="1900" w:type="dxa"/>
            <w:shd w:val="clear" w:color="auto" w:fill="D9D9D9"/>
            <w:vAlign w:val="center"/>
          </w:tcPr>
          <w:p>
            <w:pPr>
              <w:spacing w:before="20" w:after="20" w:line="240" w:lineRule="auto"/>
              <w:jc w:val="center"/>
              <w:rPr>
                <w:sz w:val="20"/>
                <w:szCs w:val="20"/>
              </w:rPr>
            </w:pPr>
            <w:r>
              <w:rPr>
                <w:b/>
                <w:sz w:val="20"/>
                <w:szCs w:val="20"/>
              </w:rPr>
              <w:t xml:space="preserve">Sigla o término</w:t>
            </w:r>
          </w:p>
        </w:tc>
        <w:tc>
          <w:tcPr>
            <w:tcW w:w="7220" w:type="dxa"/>
            <w:shd w:val="clear" w:color="auto" w:fill="D9D9D9"/>
            <w:vAlign w:val="center"/>
          </w:tcPr>
          <w:p>
            <w:pPr>
              <w:spacing w:before="20" w:after="20" w:line="240" w:lineRule="auto"/>
              <w:jc w:val="center"/>
              <w:rPr>
                <w:sz w:val="20"/>
                <w:szCs w:val="20"/>
              </w:rPr>
            </w:pPr>
            <w:r>
              <w:rPr>
                <w:b/>
                <w:sz w:val="20"/>
                <w:szCs w:val="20"/>
              </w:rPr>
              <w:t xml:space="preserve">Significado</w:t>
            </w:r>
          </w:p>
        </w:tc>
      </w:tr>
      <w:tr>
        <w:tc>
          <w:tcPr>
            <w:tcW w:w="1900" w:type="dxa"/>
            <w:vAlign w:val="center"/>
          </w:tcPr>
          <w:p>
            <w:pPr>
              <w:spacing w:before="20" w:after="20" w:line="240" w:lineRule="auto"/>
              <w:jc w:val="left"/>
              <w:rPr>
                <w:sz w:val="20"/>
                <w:szCs w:val="20"/>
              </w:rPr>
            </w:pPr>
            <w:r>
              <w:rPr>
                <w:sz w:val="20"/>
                <w:szCs w:val="20"/>
              </w:rPr>
              <w:t xml:space="preserve">AFE</w:t>
            </w:r>
          </w:p>
        </w:tc>
        <w:tc>
          <w:tcPr>
            <w:tcW w:w="7220" w:type="dxa"/>
            <w:vAlign w:val="center"/>
          </w:tcPr>
          <w:p>
            <w:pPr>
              <w:spacing w:before="20" w:after="20" w:line="240" w:lineRule="auto"/>
              <w:jc w:val="left"/>
              <w:rPr>
                <w:sz w:val="20"/>
                <w:szCs w:val="20"/>
              </w:rPr>
            </w:pPr>
            <w:r>
              <w:rPr>
                <w:sz w:val="20"/>
                <w:szCs w:val="20"/>
              </w:rPr>
              <w:t xml:space="preserve">Actividad Formativa Equivalente, modalidad de trabajo de investigación aplicada del Magíster en Sistemas de Gestión Integral de la Calidad.</w:t>
            </w:r>
          </w:p>
        </w:tc>
      </w:tr>
      <w:tr>
        <w:tc>
          <w:tcPr>
            <w:tcW w:w="1900" w:type="dxa"/>
            <w:vAlign w:val="center"/>
          </w:tcPr>
          <w:p>
            <w:pPr>
              <w:spacing w:before="20" w:after="20" w:line="240" w:lineRule="auto"/>
              <w:jc w:val="left"/>
              <w:rPr>
                <w:sz w:val="20"/>
                <w:szCs w:val="20"/>
              </w:rPr>
            </w:pPr>
            <w:r>
              <w:rPr>
                <w:sz w:val="20"/>
                <w:szCs w:val="20"/>
              </w:rPr>
              <w:t xml:space="preserve">APQC</w:t>
            </w:r>
          </w:p>
        </w:tc>
        <w:tc>
          <w:tcPr>
            <w:tcW w:w="7220" w:type="dxa"/>
            <w:vAlign w:val="center"/>
          </w:tcPr>
          <w:p>
            <w:pPr>
              <w:spacing w:before="20" w:after="20" w:line="240" w:lineRule="auto"/>
              <w:jc w:val="left"/>
              <w:rPr>
                <w:sz w:val="20"/>
                <w:szCs w:val="20"/>
              </w:rPr>
            </w:pPr>
            <w:r>
              <w:rPr>
                <w:sz w:val="20"/>
                <w:szCs w:val="20"/>
              </w:rPr>
              <w:t xml:space="preserve">American Productivity and Quality Center, organización que desarrolla y mantiene el Process Classification Framework.</w:t>
            </w:r>
          </w:p>
        </w:tc>
      </w:tr>
      <w:tr>
        <w:tc>
          <w:tcPr>
            <w:tcW w:w="1900" w:type="dxa"/>
            <w:vAlign w:val="center"/>
          </w:tcPr>
          <w:p>
            <w:pPr>
              <w:spacing w:before="20" w:after="20" w:line="240" w:lineRule="auto"/>
              <w:jc w:val="left"/>
              <w:rPr>
                <w:sz w:val="20"/>
                <w:szCs w:val="20"/>
              </w:rPr>
            </w:pPr>
            <w:r>
              <w:rPr>
                <w:sz w:val="20"/>
                <w:szCs w:val="20"/>
              </w:rPr>
              <w:t xml:space="preserve">CAP</w:t>
            </w:r>
          </w:p>
        </w:tc>
        <w:tc>
          <w:tcPr>
            <w:tcW w:w="7220" w:type="dxa"/>
            <w:vAlign w:val="center"/>
          </w:tcPr>
          <w:p>
            <w:pPr>
              <w:spacing w:before="20" w:after="20" w:line="240" w:lineRule="auto"/>
              <w:jc w:val="left"/>
              <w:rPr>
                <w:sz w:val="20"/>
                <w:szCs w:val="20"/>
              </w:rPr>
            </w:pPr>
            <w:r>
              <w:rPr>
                <w:sz w:val="20"/>
                <w:szCs w:val="20"/>
              </w:rPr>
              <w:t xml:space="preserve">Cobertura de Arquitectura de Procesos, indicador de logro del objetivo específico 1.</w:t>
            </w:r>
          </w:p>
        </w:tc>
      </w:tr>
      <w:tr>
        <w:tc>
          <w:tcPr>
            <w:tcW w:w="1900" w:type="dxa"/>
            <w:vAlign w:val="center"/>
          </w:tcPr>
          <w:p>
            <w:pPr>
              <w:spacing w:before="20" w:after="20" w:line="240" w:lineRule="auto"/>
              <w:jc w:val="left"/>
              <w:rPr>
                <w:sz w:val="20"/>
                <w:szCs w:val="20"/>
              </w:rPr>
            </w:pPr>
            <w:r>
              <w:rPr>
                <w:sz w:val="20"/>
                <w:szCs w:val="20"/>
              </w:rPr>
              <w:t xml:space="preserve">COSO</w:t>
            </w:r>
          </w:p>
        </w:tc>
        <w:tc>
          <w:tcPr>
            <w:tcW w:w="7220" w:type="dxa"/>
            <w:vAlign w:val="center"/>
          </w:tcPr>
          <w:p>
            <w:pPr>
              <w:spacing w:before="20" w:after="20" w:line="240" w:lineRule="auto"/>
              <w:jc w:val="left"/>
              <w:rPr>
                <w:sz w:val="20"/>
                <w:szCs w:val="20"/>
              </w:rPr>
            </w:pPr>
            <w:r>
              <w:rPr>
                <w:sz w:val="20"/>
                <w:szCs w:val="20"/>
              </w:rPr>
              <w:t xml:space="preserve">Committee of Sponsoring Organizations of the Treadway Commission, organismo autor del marco de gestión de riesgos empresariales.</w:t>
            </w:r>
          </w:p>
        </w:tc>
      </w:tr>
      <w:tr>
        <w:tc>
          <w:tcPr>
            <w:tcW w:w="1900" w:type="dxa"/>
            <w:vAlign w:val="center"/>
          </w:tcPr>
          <w:p>
            <w:pPr>
              <w:spacing w:before="20" w:after="20" w:line="240" w:lineRule="auto"/>
              <w:jc w:val="left"/>
              <w:rPr>
                <w:sz w:val="20"/>
                <w:szCs w:val="20"/>
              </w:rPr>
            </w:pPr>
            <w:r>
              <w:rPr>
                <w:sz w:val="20"/>
                <w:szCs w:val="20"/>
              </w:rPr>
              <w:t xml:space="preserve">COSO II</w:t>
            </w:r>
          </w:p>
        </w:tc>
        <w:tc>
          <w:tcPr>
            <w:tcW w:w="7220" w:type="dxa"/>
            <w:vAlign w:val="center"/>
          </w:tcPr>
          <w:p>
            <w:pPr>
              <w:spacing w:before="20" w:after="20" w:line="240" w:lineRule="auto"/>
              <w:jc w:val="left"/>
              <w:rPr>
                <w:sz w:val="20"/>
                <w:szCs w:val="20"/>
              </w:rPr>
            </w:pPr>
            <w:r>
              <w:rPr>
                <w:sz w:val="20"/>
                <w:szCs w:val="20"/>
              </w:rPr>
              <w:t xml:space="preserve">Marco de gestión de riesgos empresariales de COSO, publicado en 2004 y actualizado en 2017.</w:t>
            </w:r>
          </w:p>
        </w:tc>
      </w:tr>
      <w:tr>
        <w:tc>
          <w:tcPr>
            <w:tcW w:w="1900" w:type="dxa"/>
            <w:vAlign w:val="center"/>
          </w:tcPr>
          <w:p>
            <w:pPr>
              <w:spacing w:before="20" w:after="20" w:line="240" w:lineRule="auto"/>
              <w:jc w:val="left"/>
              <w:rPr>
                <w:sz w:val="20"/>
                <w:szCs w:val="20"/>
              </w:rPr>
            </w:pPr>
            <w:r>
              <w:rPr>
                <w:sz w:val="20"/>
                <w:szCs w:val="20"/>
              </w:rPr>
              <w:t xml:space="preserve">CRPM</w:t>
            </w:r>
          </w:p>
        </w:tc>
        <w:tc>
          <w:tcPr>
            <w:tcW w:w="7220" w:type="dxa"/>
            <w:vAlign w:val="center"/>
          </w:tcPr>
          <w:p>
            <w:pPr>
              <w:spacing w:before="20" w:after="20" w:line="240" w:lineRule="auto"/>
              <w:jc w:val="left"/>
              <w:rPr>
                <w:sz w:val="20"/>
                <w:szCs w:val="20"/>
              </w:rPr>
            </w:pPr>
            <w:r>
              <w:rPr>
                <w:sz w:val="20"/>
                <w:szCs w:val="20"/>
              </w:rPr>
              <w:t xml:space="preserve">Cobertura de Riesgos con Plan de Mitigación, indicador de logro del objetivo específico 3.</w:t>
            </w:r>
          </w:p>
        </w:tc>
      </w:tr>
      <w:tr>
        <w:tc>
          <w:tcPr>
            <w:tcW w:w="1900" w:type="dxa"/>
            <w:vAlign w:val="center"/>
          </w:tcPr>
          <w:p>
            <w:pPr>
              <w:spacing w:before="20" w:after="20" w:line="240" w:lineRule="auto"/>
              <w:jc w:val="left"/>
              <w:rPr>
                <w:sz w:val="20"/>
                <w:szCs w:val="20"/>
              </w:rPr>
            </w:pPr>
            <w:r>
              <w:rPr>
                <w:sz w:val="20"/>
                <w:szCs w:val="20"/>
              </w:rPr>
              <w:t xml:space="preserve">ERM</w:t>
            </w:r>
          </w:p>
        </w:tc>
        <w:tc>
          <w:tcPr>
            <w:tcW w:w="7220" w:type="dxa"/>
            <w:vAlign w:val="center"/>
          </w:tcPr>
          <w:p>
            <w:pPr>
              <w:spacing w:before="20" w:after="20" w:line="240" w:lineRule="auto"/>
              <w:jc w:val="left"/>
              <w:rPr>
                <w:sz w:val="20"/>
                <w:szCs w:val="20"/>
              </w:rPr>
            </w:pPr>
            <w:r>
              <w:rPr>
                <w:sz w:val="20"/>
                <w:szCs w:val="20"/>
              </w:rPr>
              <w:t xml:space="preserve">Enterprise Risk Management o gestión de riesgos empresariales.</w:t>
            </w:r>
          </w:p>
        </w:tc>
      </w:tr>
      <w:tr>
        <w:tc>
          <w:tcPr>
            <w:tcW w:w="1900" w:type="dxa"/>
            <w:vAlign w:val="center"/>
          </w:tcPr>
          <w:p>
            <w:pPr>
              <w:spacing w:before="20" w:after="20" w:line="240" w:lineRule="auto"/>
              <w:jc w:val="left"/>
              <w:rPr>
                <w:sz w:val="20"/>
                <w:szCs w:val="20"/>
              </w:rPr>
            </w:pPr>
            <w:r>
              <w:rPr>
                <w:sz w:val="20"/>
                <w:szCs w:val="20"/>
              </w:rPr>
              <w:t xml:space="preserve">KRI</w:t>
            </w:r>
          </w:p>
        </w:tc>
        <w:tc>
          <w:tcPr>
            <w:tcW w:w="7220" w:type="dxa"/>
            <w:vAlign w:val="center"/>
          </w:tcPr>
          <w:p>
            <w:pPr>
              <w:spacing w:before="20" w:after="20" w:line="240" w:lineRule="auto"/>
              <w:jc w:val="left"/>
              <w:rPr>
                <w:sz w:val="20"/>
                <w:szCs w:val="20"/>
              </w:rPr>
            </w:pPr>
            <w:r>
              <w:rPr>
                <w:sz w:val="20"/>
                <w:szCs w:val="20"/>
              </w:rPr>
              <w:t xml:space="preserve">Key Risk Indicator o indicador clave de riesgo.</w:t>
            </w:r>
          </w:p>
        </w:tc>
      </w:tr>
      <w:tr>
        <w:tc>
          <w:tcPr>
            <w:tcW w:w="1900" w:type="dxa"/>
            <w:vAlign w:val="center"/>
          </w:tcPr>
          <w:p>
            <w:pPr>
              <w:spacing w:before="20" w:after="20" w:line="240" w:lineRule="auto"/>
              <w:jc w:val="left"/>
              <w:rPr>
                <w:sz w:val="20"/>
                <w:szCs w:val="20"/>
              </w:rPr>
            </w:pPr>
            <w:r>
              <w:rPr>
                <w:sz w:val="20"/>
                <w:szCs w:val="20"/>
              </w:rPr>
              <w:t xml:space="preserve">MGO</w:t>
            </w:r>
          </w:p>
        </w:tc>
        <w:tc>
          <w:tcPr>
            <w:tcW w:w="7220" w:type="dxa"/>
            <w:vAlign w:val="center"/>
          </w:tcPr>
          <w:p>
            <w:pPr>
              <w:spacing w:before="20" w:after="20" w:line="240" w:lineRule="auto"/>
              <w:jc w:val="left"/>
              <w:rPr>
                <w:sz w:val="20"/>
                <w:szCs w:val="20"/>
              </w:rPr>
            </w:pPr>
            <w:r>
              <w:rPr>
                <w:sz w:val="20"/>
                <w:szCs w:val="20"/>
              </w:rPr>
              <w:t xml:space="preserve">Modelo de Gestión Operacional de Arauco, marco normativo interno para la gestión de sus procesos.</w:t>
            </w:r>
          </w:p>
        </w:tc>
      </w:tr>
      <w:tr>
        <w:tc>
          <w:tcPr>
            <w:tcW w:w="1900" w:type="dxa"/>
            <w:vAlign w:val="center"/>
          </w:tcPr>
          <w:p>
            <w:pPr>
              <w:spacing w:before="20" w:after="20" w:line="240" w:lineRule="auto"/>
              <w:jc w:val="left"/>
              <w:rPr>
                <w:sz w:val="20"/>
                <w:szCs w:val="20"/>
              </w:rPr>
            </w:pPr>
            <w:r>
              <w:rPr>
                <w:sz w:val="20"/>
                <w:szCs w:val="20"/>
              </w:rPr>
              <w:t xml:space="preserve">MP8</w:t>
            </w:r>
          </w:p>
        </w:tc>
        <w:tc>
          <w:tcPr>
            <w:tcW w:w="7220" w:type="dxa"/>
            <w:vAlign w:val="center"/>
          </w:tcPr>
          <w:p>
            <w:pPr>
              <w:spacing w:before="20" w:after="20" w:line="240" w:lineRule="auto"/>
              <w:jc w:val="left"/>
              <w:rPr>
                <w:sz w:val="20"/>
                <w:szCs w:val="20"/>
              </w:rPr>
            </w:pPr>
            <w:r>
              <w:rPr>
                <w:sz w:val="20"/>
                <w:szCs w:val="20"/>
              </w:rPr>
              <w:t xml:space="preserve">Macroproceso de apoyo Gestión de Personas.</w:t>
            </w:r>
          </w:p>
        </w:tc>
      </w:tr>
      <w:tr>
        <w:tc>
          <w:tcPr>
            <w:tcW w:w="1900" w:type="dxa"/>
            <w:vAlign w:val="center"/>
          </w:tcPr>
          <w:p>
            <w:pPr>
              <w:spacing w:before="20" w:after="20" w:line="240" w:lineRule="auto"/>
              <w:jc w:val="left"/>
              <w:rPr>
                <w:sz w:val="20"/>
                <w:szCs w:val="20"/>
              </w:rPr>
            </w:pPr>
            <w:r>
              <w:rPr>
                <w:sz w:val="20"/>
                <w:szCs w:val="20"/>
              </w:rPr>
              <w:t xml:space="preserve">MP21</w:t>
            </w:r>
          </w:p>
        </w:tc>
        <w:tc>
          <w:tcPr>
            <w:tcW w:w="7220" w:type="dxa"/>
            <w:vAlign w:val="center"/>
          </w:tcPr>
          <w:p>
            <w:pPr>
              <w:spacing w:before="20" w:after="20" w:line="240" w:lineRule="auto"/>
              <w:jc w:val="left"/>
              <w:rPr>
                <w:sz w:val="20"/>
                <w:szCs w:val="20"/>
              </w:rPr>
            </w:pPr>
            <w:r>
              <w:rPr>
                <w:sz w:val="20"/>
                <w:szCs w:val="20"/>
              </w:rPr>
              <w:t xml:space="preserve">Macroproceso de apoyo Servicios Generales.</w:t>
            </w:r>
          </w:p>
        </w:tc>
      </w:tr>
      <w:tr>
        <w:tc>
          <w:tcPr>
            <w:tcW w:w="1900" w:type="dxa"/>
            <w:vAlign w:val="center"/>
          </w:tcPr>
          <w:p>
            <w:pPr>
              <w:spacing w:before="20" w:after="20" w:line="240" w:lineRule="auto"/>
              <w:jc w:val="left"/>
              <w:rPr>
                <w:sz w:val="20"/>
                <w:szCs w:val="20"/>
              </w:rPr>
            </w:pPr>
            <w:r>
              <w:rPr>
                <w:sz w:val="20"/>
                <w:szCs w:val="20"/>
              </w:rPr>
              <w:t xml:space="preserve">PCF</w:t>
            </w:r>
          </w:p>
        </w:tc>
        <w:tc>
          <w:tcPr>
            <w:tcW w:w="7220" w:type="dxa"/>
            <w:vAlign w:val="center"/>
          </w:tcPr>
          <w:p>
            <w:pPr>
              <w:spacing w:before="20" w:after="20" w:line="240" w:lineRule="auto"/>
              <w:jc w:val="left"/>
              <w:rPr>
                <w:sz w:val="20"/>
                <w:szCs w:val="20"/>
              </w:rPr>
            </w:pPr>
            <w:r>
              <w:rPr>
                <w:sz w:val="20"/>
                <w:szCs w:val="20"/>
              </w:rPr>
              <w:t xml:space="preserve">Process Classification Framework de APQC.</w:t>
            </w:r>
          </w:p>
        </w:tc>
      </w:tr>
      <w:tr>
        <w:tc>
          <w:tcPr>
            <w:tcW w:w="1900" w:type="dxa"/>
            <w:vAlign w:val="center"/>
          </w:tcPr>
          <w:p>
            <w:pPr>
              <w:spacing w:before="20" w:after="20" w:line="240" w:lineRule="auto"/>
              <w:jc w:val="left"/>
              <w:rPr>
                <w:sz w:val="20"/>
                <w:szCs w:val="20"/>
              </w:rPr>
            </w:pPr>
            <w:r>
              <w:rPr>
                <w:sz w:val="20"/>
                <w:szCs w:val="20"/>
              </w:rPr>
              <w:t xml:space="preserve">RACI</w:t>
            </w:r>
          </w:p>
        </w:tc>
        <w:tc>
          <w:tcPr>
            <w:tcW w:w="7220" w:type="dxa"/>
            <w:vAlign w:val="center"/>
          </w:tcPr>
          <w:p>
            <w:pPr>
              <w:spacing w:before="20" w:after="20" w:line="240" w:lineRule="auto"/>
              <w:jc w:val="left"/>
              <w:rPr>
                <w:sz w:val="20"/>
                <w:szCs w:val="20"/>
              </w:rPr>
            </w:pPr>
            <w:r>
              <w:rPr>
                <w:sz w:val="20"/>
                <w:szCs w:val="20"/>
              </w:rPr>
              <w:t xml:space="preserve">Matriz de asignación de responsabilidades: responsable, aprobador, consultado e informado.</w:t>
            </w:r>
          </w:p>
        </w:tc>
      </w:tr>
      <w:tr>
        <w:tc>
          <w:tcPr>
            <w:tcW w:w="1900" w:type="dxa"/>
            <w:vAlign w:val="center"/>
          </w:tcPr>
          <w:p>
            <w:pPr>
              <w:spacing w:before="20" w:after="20" w:line="240" w:lineRule="auto"/>
              <w:jc w:val="left"/>
              <w:rPr>
                <w:sz w:val="20"/>
                <w:szCs w:val="20"/>
              </w:rPr>
            </w:pPr>
            <w:r>
              <w:rPr>
                <w:sz w:val="20"/>
                <w:szCs w:val="20"/>
              </w:rPr>
              <w:t xml:space="preserve">Riesgo inherente</w:t>
            </w:r>
          </w:p>
        </w:tc>
        <w:tc>
          <w:tcPr>
            <w:tcW w:w="7220" w:type="dxa"/>
            <w:vAlign w:val="center"/>
          </w:tcPr>
          <w:p>
            <w:pPr>
              <w:spacing w:before="20" w:after="20" w:line="240" w:lineRule="auto"/>
              <w:jc w:val="left"/>
              <w:rPr>
                <w:sz w:val="20"/>
                <w:szCs w:val="20"/>
              </w:rPr>
            </w:pPr>
            <w:r>
              <w:rPr>
                <w:sz w:val="20"/>
                <w:szCs w:val="20"/>
              </w:rPr>
              <w:t xml:space="preserve">Nivel de riesgo de un evento antes de considerar el efecto de los controles existentes.</w:t>
            </w:r>
          </w:p>
        </w:tc>
      </w:tr>
      <w:tr>
        <w:tc>
          <w:tcPr>
            <w:tcW w:w="1900" w:type="dxa"/>
            <w:vAlign w:val="center"/>
          </w:tcPr>
          <w:p>
            <w:pPr>
              <w:spacing w:before="20" w:after="20" w:line="240" w:lineRule="auto"/>
              <w:jc w:val="left"/>
              <w:rPr>
                <w:sz w:val="20"/>
                <w:szCs w:val="20"/>
              </w:rPr>
            </w:pPr>
            <w:r>
              <w:rPr>
                <w:sz w:val="20"/>
                <w:szCs w:val="20"/>
              </w:rPr>
              <w:t xml:space="preserve">Riesgo residual</w:t>
            </w:r>
          </w:p>
        </w:tc>
        <w:tc>
          <w:tcPr>
            <w:tcW w:w="7220" w:type="dxa"/>
            <w:vAlign w:val="center"/>
          </w:tcPr>
          <w:p>
            <w:pPr>
              <w:spacing w:before="20" w:after="20" w:line="240" w:lineRule="auto"/>
              <w:jc w:val="left"/>
              <w:rPr>
                <w:sz w:val="20"/>
                <w:szCs w:val="20"/>
              </w:rPr>
            </w:pPr>
            <w:r>
              <w:rPr>
                <w:sz w:val="20"/>
                <w:szCs w:val="20"/>
              </w:rPr>
              <w:t xml:space="preserve">Nivel de riesgo que permanece después de considerar el efecto de los controles existentes.</w:t>
            </w:r>
          </w:p>
        </w:tc>
      </w:tr>
      <w:tr>
        <w:tc>
          <w:tcPr>
            <w:tcW w:w="1900" w:type="dxa"/>
            <w:vAlign w:val="center"/>
          </w:tcPr>
          <w:p>
            <w:pPr>
              <w:spacing w:before="20" w:after="20" w:line="240" w:lineRule="auto"/>
              <w:jc w:val="left"/>
              <w:rPr>
                <w:sz w:val="20"/>
                <w:szCs w:val="20"/>
              </w:rPr>
            </w:pPr>
            <w:r>
              <w:rPr>
                <w:sz w:val="20"/>
                <w:szCs w:val="20"/>
              </w:rPr>
              <w:t xml:space="preserve">Tarea</w:t>
            </w:r>
          </w:p>
        </w:tc>
        <w:tc>
          <w:tcPr>
            <w:tcW w:w="7220" w:type="dxa"/>
            <w:vAlign w:val="center"/>
          </w:tcPr>
          <w:p>
            <w:pPr>
              <w:spacing w:before="20" w:after="20" w:line="240" w:lineRule="auto"/>
              <w:jc w:val="left"/>
              <w:rPr>
                <w:sz w:val="20"/>
                <w:szCs w:val="20"/>
              </w:rPr>
            </w:pPr>
            <w:r>
              <w:rPr>
                <w:sz w:val="20"/>
                <w:szCs w:val="20"/>
              </w:rPr>
              <w:t xml:space="preserve">Nivel jerárquico más desagregado de la arquitectura de procesos, correspondiente al nivel 5 del modelamiento.</w:t>
            </w:r>
          </w:p>
        </w:tc>
      </w:tr>
      <w:tr>
        <w:tc>
          <w:tcPr>
            <w:tcW w:w="1900" w:type="dxa"/>
            <w:vAlign w:val="center"/>
          </w:tcPr>
          <w:p>
            <w:pPr>
              <w:spacing w:before="20" w:after="20" w:line="240" w:lineRule="auto"/>
              <w:jc w:val="left"/>
              <w:rPr>
                <w:sz w:val="20"/>
                <w:szCs w:val="20"/>
              </w:rPr>
            </w:pPr>
            <w:r>
              <w:rPr>
                <w:sz w:val="20"/>
                <w:szCs w:val="20"/>
              </w:rPr>
              <w:t xml:space="preserve">TCER</w:t>
            </w:r>
          </w:p>
        </w:tc>
        <w:tc>
          <w:tcPr>
            <w:tcW w:w="7220" w:type="dxa"/>
            <w:vAlign w:val="center"/>
          </w:tcPr>
          <w:p>
            <w:pPr>
              <w:spacing w:before="20" w:after="20" w:line="240" w:lineRule="auto"/>
              <w:jc w:val="left"/>
              <w:rPr>
                <w:sz w:val="20"/>
                <w:szCs w:val="20"/>
              </w:rPr>
            </w:pPr>
            <w:r>
              <w:rPr>
                <w:sz w:val="20"/>
                <w:szCs w:val="20"/>
              </w:rPr>
              <w:t xml:space="preserve">Tasa de Cobertura de Evaluación de Riesgos, indicador de logro del objetivo específico 2.</w:t>
            </w:r>
          </w:p>
        </w:tc>
      </w:tr>
      <w:tr>
        <w:tc>
          <w:tcPr>
            <w:tcW w:w="1900" w:type="dxa"/>
            <w:vAlign w:val="center"/>
          </w:tcPr>
          <w:p>
            <w:pPr>
              <w:spacing w:before="20" w:after="20" w:line="240" w:lineRule="auto"/>
              <w:jc w:val="left"/>
              <w:rPr>
                <w:sz w:val="20"/>
                <w:szCs w:val="20"/>
              </w:rPr>
            </w:pPr>
            <w:r>
              <w:rPr>
                <w:sz w:val="20"/>
                <w:szCs w:val="20"/>
              </w:rPr>
              <w:t xml:space="preserve">TFG</w:t>
            </w:r>
          </w:p>
        </w:tc>
        <w:tc>
          <w:tcPr>
            <w:tcW w:w="7220" w:type="dxa"/>
            <w:vAlign w:val="center"/>
          </w:tcPr>
          <w:p>
            <w:pPr>
              <w:spacing w:before="20" w:after="20" w:line="240" w:lineRule="auto"/>
              <w:jc w:val="left"/>
              <w:rPr>
                <w:sz w:val="20"/>
                <w:szCs w:val="20"/>
              </w:rPr>
            </w:pPr>
            <w:r>
              <w:rPr>
                <w:sz w:val="20"/>
                <w:szCs w:val="20"/>
              </w:rPr>
              <w:t xml:space="preserve">Trabajo Final de Grado.</w:t>
            </w:r>
          </w:p>
        </w:tc>
      </w:tr>
    </w:tbl>
    <w:p>
      <w:pPr>
        <w:pStyle w:val="Heading1"/>
      </w:pPr>
      <w:r>
        <w:t xml:space="preserve">RESUMEN</w:t>
      </w:r>
    </w:p>
    <w:p>
      <w:r>
        <w:t xml:space="preserve">Los macroprocesos de apoyo de las grandes empresas industriales suelen operar sin un sistema estructurado que permita identificar, evaluar y tratar de forma sistemática sus riesgos operacionales, lo que limita la trazabilidad de las responsabilidades y la continuidad operacional. Esta situación se presenta en los macroprocesos Gestión de Personas (MP8) y Servicios Generales (MP21) de Celulosa Arauco y Constitución S.A. El objetivo general de este Trabajo Final de Grado es estructurar un sistema de gestión de riesgos según la metodología COSO II para ambos macroprocesos. La investigación adopta un diseño descriptivo-aplicado, con estrategia descriptiva de tipo observacional, sobre un caso único de carácter no experimental, y se organiza en tres etapas: el modelamiento de la arquitectura de procesos en cinco niveles jerárquicos bajo el Modelo de Gestión Operacional, la evaluación de los riesgos operacionales por tarea según COSO II y la elaboración del sistema de gestión de riesgos. Los datos se recolectan mediante revisión documental, entrevistas y talleres con los dueños de proceso a nivel corporativo. El presente documento corresponde a la primera versión del informe y reporta el avance del primer hito. A la fecha se completó el levantamiento del flujo único de información de MP8, compuesto por 261 elementos y 318 conexiones distribuidos en 18 fases, de los cuales 94 pasos se respaldan en procedimientos vigentes y 36 provienen de entrevistas sin documentación previa, y se declararon 12 brechas de levantamiento concentradas en la administración de nómina y en la desvinculación. El levantamiento de MP21 no se ha iniciado. Se espera obtener un sistema de gestión de riesgos documentado, sustentado en la arquitectura de procesos modelada y en un catálogo de riesgos con sus planes de mitigación.</w:t>
      </w:r>
    </w:p>
    <w:p>
      <w:r>
        <w:t xml:space="preserve">Palabras clave: gestión de riesgos; COSO II; riesgo operacional; gestión por procesos; procesos de apoyo.</w:t>
      </w:r>
    </w:p>
    <w:p>
      <w:pPr>
        <w:pStyle w:val="Heading1"/>
      </w:pPr>
      <w:r>
        <w:t xml:space="preserve">ABSTRACT</w:t>
      </w:r>
    </w:p>
    <w:p>
      <w:r>
        <w:t xml:space="preserve">Support macroprocesses in large industrial companies often operate without a structured system to systematically identify, assess and treat their operational risks, which limits the traceability of responsibilities and operational continuity. This situation occurs in the People Management (MP8) and General Services (MP21) macroprocesses of Celulosa Arauco y Constitución S.A. The general objective of this Final Degree Work is to structure a risk management system based on the COSO II methodology for both macroprocesses. The research adopts a descriptive-applied design, with an observational descriptive strategy, on a single non-experimental case study, and is organised in three stages: modelling the process architecture across five hierarchical levels under the company Operational Management Model, assessing operational risks at task level according to COSO II, and developing the risk management system. Data are collected through document review, interviews and workshops with corporate process owners. This document is the first version of the report and presents the progress of the first milestone. To date, the single information flow of MP8 has been mapped, comprising 261 elements and 318 connections across 18 phases, of which 94 steps are supported by current procedures and 36 come from interviews without prior documentation; 12 mapping gaps were declared, concentrated in payroll administration and separation. The mapping of MP21 has not started. The expected outcome is a documented risk management system, supported by the modelled process architecture and by a risk catalogue with its mitigation plans.</w:t>
      </w:r>
    </w:p>
    <w:p>
      <w:r>
        <w:t xml:space="preserve">Keywords: risk management; COSO II; operational risk; business process management; support processes.</w:t>
      </w:r>
    </w:p>
    <w:p>
      <w:pPr>
        <w:pStyle w:val="Heading1"/>
      </w:pPr>
      <w:r>
        <w:t xml:space="preserve">CAPÍTULO 1 INTRODUCCIÓN</w:t>
      </w:r>
    </w:p>
    <w:p>
      <w:r>
        <w:t xml:space="preserve">Este capítulo presenta los antecedentes que originan el trabajo, la definición del problema abordado, su justificación, la revisión de la literatura que lo sustenta, el caso de estudio seleccionado y los objetivos que orientan su desarrollo.</w:t>
      </w:r>
    </w:p>
    <w:p>
      <w:pPr>
        <w:pStyle w:val="Heading2"/>
      </w:pPr>
      <w:r>
        <w:t xml:space="preserve">1.1. ANTECEDENTES</w:t>
      </w:r>
    </w:p>
    <w:p>
      <w:r>
        <w:t xml:space="preserve">La gestión de riesgos se ha consolidado como una capacidad crítica para sostener la continuidad y el desempeño de las organizaciones, y la evidencia muestra que descuidar los riesgos operacionales tiene un costo financiero. En la industria manufacturera estadounidense, por ejemplo, los costos y pérdidas asociados al mantenimiento de la maquinaria se estiman en promedio en unos 222 mil millones de dólares anuales (Thomas y Weiss, 2021), una magnitud que ilustra el impacto de no anticipar las fallas operacionales. En sentido inverso, la literatura cuantifica el valor de gestionar los riesgos de forma estructurada: las aseguradoras que adoptan marcos de gestión de riesgos empresariales exhiben una prima de valor de mercado cercana al 20% (Hoyt y Liebenberg, 2011), y las organizaciones que alcanzan niveles maduros de gestión de riesgos empresariales llegan a mostrar una prima de valoración de hasta un 25%, medida a través de la Q de Tobin (Farrell y Gallagher, 2015).</w:t>
      </w:r>
    </w:p>
    <w:p>
      <w:r>
        <w:t xml:space="preserve">En la misma línea, la evidencia reciente muestra que la adopción de marcos de gestión de riesgos empresariales se asocia con primas de desempeño significativas (Jurdi y AlGhnaimat, 2021), con mejoras en el desempeño a través de la ventaja competitiva (Yang et al., 2018) y con una relación positiva entre la calidad de la gestión de riesgos y los resultados de la firma (Jagrič et al., 2026), hallazgos consistentes con la revisión de la literatura sobre el valor de la gestión de riesgos empresariales (Anton y Nucu, 2020).</w:t>
      </w:r>
    </w:p>
    <w:p>
      <w:r>
        <w:t xml:space="preserve">Este contraste es especialmente relevante en los procesos de apoyo, como la gestión de personas y los servicios generales, que suelen carecer de una gestión de riesgos formal pese a sostener la operación. Cuando una gran empresa no cuenta con un sistema estructurado que identifique, evalúe y trate los riesgos de estos procesos, queda expuesta a pérdidas operacionales, a la pérdida de trazabilidad de las responsabilidades y a interrupciones evitables. Este trabajo se origina en esa constatación, observada por el investigador en el ejercicio de su rol de ingeniero de gestión de procesos en Celulosa Arauco y Constitución S.A., en adelante Arauco, y en el interés de la compañía por formalizar la gestión de sus macroprocesos de apoyo. Sobre esa base, el trabajo aborda la estructuración de un sistema de gestión de riesgos para dos macroprocesos de apoyo específicos, cuyo problema se define a continuación.</w:t>
      </w:r>
    </w:p>
    <w:p>
      <w:pPr>
        <w:pStyle w:val="Heading2"/>
      </w:pPr>
      <w:r>
        <w:t xml:space="preserve">1.2. DEFINICIÓN DEL PROBLEMA</w:t>
      </w:r>
    </w:p>
    <w:p>
      <w:r>
        <w:t xml:space="preserve">En las grandes empresas industriales, los macroprocesos de apoyo, como la gestión de personas y los servicios generales, operan sin un sistema de gestión de riesgos estructurado que permita identificar, evaluar y tratar de forma sistemática sus riesgos operacionales. Con frecuencia esta carencia se combina con la ausencia de una arquitectura de procesos formalizada para estos macroprocesos, lo que dificulta la trazabilidad de las responsabilidades y la gestión centralizada de los riesgos, sobre todo cuando los procesos son transversales a múltiples unidades o instalaciones.</w:t>
      </w:r>
    </w:p>
    <w:p>
      <w:r>
        <w:t xml:space="preserve">Esta situación se manifiesta en tres carencias concretas:</w:t>
      </w:r>
    </w:p>
    <w:p>
      <w:pPr>
        <w:pStyle w:val="Vineta"/>
      </w:pPr>
      <w:r>
        <w:t xml:space="preserve">-  No existe una arquitectura de procesos formalizada de los macroprocesos de apoyo en sus distintos niveles jerárquicos que sirva de base para analizar los riesgos.</w:t>
      </w:r>
    </w:p>
    <w:p>
      <w:pPr>
        <w:pStyle w:val="Vineta"/>
      </w:pPr>
      <w:r>
        <w:t xml:space="preserve">-  Los riesgos operacionales asociados a las tareas de estos macroprocesos no han sido identificados ni evaluados con una metodología estructurada.</w:t>
      </w:r>
    </w:p>
    <w:p>
      <w:pPr>
        <w:pStyle w:val="Vineta"/>
      </w:pPr>
      <w:r>
        <w:t xml:space="preserve">-  La organización no cuenta con un sistema que integre esos riesgos con sus planes de mitigación, sus responsables y sus mecanismos de monitoreo.</w:t>
      </w:r>
    </w:p>
    <w:p>
      <w:r>
        <w:t xml:space="preserve">En el caso de Arauco, los macroprocesos Gestión de Personas (MP8) y Servicios Generales (MP21) se definen a nivel corporativo y se ejecutan en las seis plantas productivas de celulosa de la compañía en Chile, con distintos grados de estandarización. La compañía dispone de un Modelo de Gestión Operacional que fija los lineamientos para gestionar sus procesos, pero ambos macroprocesos todavía no cuentan con una arquitectura formalizada bajo ese modelo, lo que genera brechas de estandarización entre plantas y limita la capacidad de identificar sus riesgos operacionales de manera sistemática.</w:t>
      </w:r>
    </w:p>
    <w:p>
      <w:pPr>
        <w:pStyle w:val="Heading2"/>
      </w:pPr>
      <w:r>
        <w:t xml:space="preserve">1.3. JUSTIFICACIÓN</w:t>
      </w:r>
    </w:p>
    <w:p>
      <w:r>
        <w:t xml:space="preserve">Abordar esta problemática es relevante porque un sistema de gestión de riesgos permite identificar y controlar de forma sistemática las vulnerabilidades operacionales de los macroprocesos de apoyo, lo que contribuye a la continuidad de las operaciones y al cumplimiento de los estándares corporativos. Además, cuando el sistema se sustenta en una arquitectura de procesos modelada, puede extrapolarse a las distintas unidades o plantas de una organización y habilitar una gestión de riesgos homogénea y trazable.</w:t>
      </w:r>
    </w:p>
    <w:p>
      <w:r>
        <w:t xml:space="preserve">La magnitud del beneficio potencial se sustenta en las cifras expuestas en los antecedentes: primas de valor de mercado cercanas al 20% en organizaciones que adoptan marcos de gestión de riesgos empresariales (Hoyt y Liebenberg, 2011) y de hasta un 25% en aquellas que alcanzan niveles maduros de gestión (Farrell y Gallagher, 2015), frente a costos operacionales evitables que, solo en mantenimiento de maquinaria manufacturera, se estiman en unos 222 mil millones de dólares anuales (Thomas y Weiss, 2021).</w:t>
      </w:r>
    </w:p>
    <w:p>
      <w:r>
        <w:t xml:space="preserve">Los beneficiarios directos de este trabajo son:</w:t>
      </w:r>
    </w:p>
    <w:p>
      <w:pPr>
        <w:pStyle w:val="Vineta"/>
      </w:pPr>
      <w:r>
        <w:t xml:space="preserve">-  Arauco, que obtiene la arquitectura formalizada de dos de sus macroprocesos de apoyo, un catálogo de riesgos evaluados y un sistema de gestión de riesgos aplicable a sus seis plantas.</w:t>
      </w:r>
    </w:p>
    <w:p>
      <w:pPr>
        <w:pStyle w:val="Vineta"/>
      </w:pPr>
      <w:r>
        <w:t xml:space="preserve">-  Los dueños de proceso y las jefaturas de MP8 y MP21, que disponen de responsabilidades trazables y de criterios explícitos para priorizar sus controles.</w:t>
      </w:r>
    </w:p>
    <w:p>
      <w:pPr>
        <w:pStyle w:val="Vineta"/>
      </w:pPr>
      <w:r>
        <w:t xml:space="preserve">-  La disciplina de la gestión de calidad y de riesgos, dado que la aplicación de COSO II en el nivel de tarea dentro de procesos de apoyo de empresas forestales continúa siendo escasa en la literatura.</w:t>
      </w:r>
    </w:p>
    <w:p>
      <w:pPr>
        <w:pStyle w:val="Heading2"/>
      </w:pPr>
      <w:r>
        <w:t xml:space="preserve">1.4. REVISIÓN BIBLIOGRÁFICA</w:t>
      </w:r>
    </w:p>
    <w:p>
      <w:r>
        <w:t xml:space="preserve">La gestión de riesgos se ha convertido en una función central para asegurar la continuidad de las operaciones y el cumplimiento de los objetivos de una organización. Para gestionarlos de manera sistemática, sin embargo, la empresa primero necesita comprender y ordenar sus procesos, de modo que la gestión por procesos y la gestión de riesgos funcionan como disciplinas complementarias. Sobre esa premisa, este trabajo articula ambos enfoques para estructurar un sistema de gestión de riesgos en los macroprocesos de apoyo de Gestión de Personas y Servicios Generales. Ya Hammer y Champy (1993) y Harmon (2019) sostenían que organizar el trabajo en torno a procesos es la base para su control y mejora continua, condición que resulta necesaria para poder identificar y gestionar posteriormente los riesgos operacionales asociados.</w:t>
      </w:r>
    </w:p>
    <w:p>
      <w:pPr>
        <w:pStyle w:val="Heading3"/>
      </w:pPr>
      <w:r>
        <w:t xml:space="preserve">1.4.1. Gestión por procesos</w:t>
      </w:r>
    </w:p>
    <w:p>
      <w:r>
        <w:t xml:space="preserve">La gestión por procesos ordena las actividades de la empresa en torno a flujos de valor que cruzan las fronteras funcionales y orientan el trabajo hacia resultados medibles y replicables, tal como planteó Davenport (1993) en los orígenes de esta disciplina. Su adopción se vincula estrechamente con la gestión de la calidad y con una toma de decisiones apoyada en información confiable, según muestran Litvaj et al. (2022).</w:t>
      </w:r>
    </w:p>
    <w:p>
      <w:r>
        <w:t xml:space="preserve">Teixeira et al. (2024) entienden esta disciplina como un ciclo continuo que abarca la identificación, el modelamiento, el análisis, el rediseño, la implementación y el monitoreo de los procesos de negocio. La transformación digital ha renovado su vigencia, al ampliar las capacidades necesarias para gestionar los procesos y estrechar su vínculo con la innovación organizacional, un tema que han examinado Mendling et al. (2020) y Kerpedzhiev et al. (2021).</w:t>
      </w:r>
    </w:p>
    <w:p>
      <w:r>
        <w:t xml:space="preserve">En los procesos de apoyo, como la gestión de personas y los servicios generales, este enfoque permite ordenar actividades que suelen estar dispersas y dotarlas de trazabilidad y control, condición previa para analizar sus riesgos.</w:t>
      </w:r>
    </w:p>
    <w:p>
      <w:pPr>
        <w:pStyle w:val="Heading3"/>
      </w:pPr>
      <w:r>
        <w:t xml:space="preserve">1.4.2. Marcos de referencia para la gestión por procesos</w:t>
      </w:r>
    </w:p>
    <w:p>
      <w:r>
        <w:t xml:space="preserve">Para apoyar la adopción de este enfoque existen marcos de referencia de amplio uso. Entre ellos destaca el Process Classification Framework del American Productivity and Quality Center, un esquema de clasificación genérico que permite describir y comparar los procesos de una organización con un lenguaje común, tal como lo documenta el American Productivity and Quality Center [APQC] (2023).</w:t>
      </w:r>
    </w:p>
    <w:p>
      <w:r>
        <w:t xml:space="preserve">Este marco ordena los procesos en categorías, grupos, procesos y actividades, lo que facilita la comparación con prácticas de referencia y la detección de brechas. Por su carácter genérico y transversal a distintas industrias, resulta útil para contrastar lo que debería existir en un macroproceso de apoyo con lo que la organización tiene efectivamente documentado.</w:t>
      </w:r>
    </w:p>
    <w:p>
      <w:pPr>
        <w:pStyle w:val="Heading3"/>
      </w:pPr>
      <w:r>
        <w:t xml:space="preserve">1.4.3. Madurez operativa de los procesos</w:t>
      </w:r>
    </w:p>
    <w:p>
      <w:r>
        <w:t xml:space="preserve">El concepto de madurez operativa, heredado de modelos como el Capability Maturity Model Integration del Software Engineering Institute [SEI] (2010), permite valorar en qué medida los procesos de una organización se acercan a las prácticas estándar y orientar la mejora hacia las áreas más débiles.</w:t>
      </w:r>
    </w:p>
    <w:p>
      <w:r>
        <w:t xml:space="preserve">Estos modelos describen una progresión por niveles, que va desde procesos informales y sin documentar hasta procesos definidos, gestionados con datos y en mejora continua. Szelągowski y Berniak-Woźny (2022) muestran cómo se han adaptado a contextos organizacionales diversos para evaluar de forma estructurada el grado de formalización alcanzado, mientras que Dobrosavljević et al. (2020) evidencian que las dimensiones de orientación a procesos condicionan el avance hacia niveles superiores de madurez.</w:t>
      </w:r>
    </w:p>
    <w:p>
      <w:pPr>
        <w:pStyle w:val="Heading3"/>
      </w:pPr>
      <w:r>
        <w:t xml:space="preserve">1.4.4. Gestión de riesgos y metodología COSO II</w:t>
      </w:r>
    </w:p>
    <w:p>
      <w:r>
        <w:t xml:space="preserve">La gestión de riesgos empresariales, o Enterprise Risk Management, representa la evolución desde un manejo aislado de los riesgos hacia un enfoque holístico e integrado con la estrategia y el desempeño, como sintetizan Anton y Nucu (2020) en su revisión de la literatura. En este campo, el Committee of Sponsoring Organizations of the Treadway Commission [COSO] desarrolló un marco de referencia para identificar, evaluar y responder a los eventos que afectan el logro de los objetivos. La metodología conocida como COSO II corresponde a ese marco de gestión de riesgos, publicado originalmente en 2004 y organizado en ocho componentes: ambiente interno, establecimiento de objetivos, identificación de eventos, evaluación de riesgos, respuesta al riesgo, actividades de control, información y comunicación, y supervisión (COSO, 2004). En 2017 se actualizó bajo el título Enterprise Risk Management: Integrating with Strategy and Performance, que lo reorganiza en cinco componentes y veinte principios (COSO, 2017).</w:t>
      </w:r>
    </w:p>
    <w:p>
      <w:r>
        <w:t xml:space="preserve">Este trabajo adopta la metodología COSO II porque es la versión más consolidada en la práctica industrial para gestionar el riesgo operacional. Su ciclo de identificación de eventos, evaluación del riesgo y respuesta se aplica de forma directa en el nivel de tarea, que es donde se origina buena parte de los riesgos de los procesos de apoyo. Aplicar COSO II en los macroprocesos de apoyo de una empresa del tamaño de Arauco aporta valor, porque permite ligar cada riesgo operacional a la tarea que lo genera y definir controles y planes de mitigación coherentes con la estructura de procesos.</w:t>
      </w:r>
    </w:p>
    <w:p>
      <w:r>
        <w:t xml:space="preserve">Varios estudios han combinado el enfoque de procesos con marcos de riesgo en empresas industriales de gran escala y reportan mejoras en la trazabilidad de las responsabilidades, en la calidad de la información de gestión y en la capacidad de respuesta ante eventos disruptivos, como documentan Rummler y Brache (2013) y Jurdi y AlGhnaimat (2021). Yang et al. (2018) aportan evidencia de que las prácticas de gestión de riesgos se asocian con un mejor desempeño de la organización a través de la ventaja competitiva. La investigación más reciente ha profundizado en la medición de la madurez y la calidad de estos sistemas, con los modelos de madurez de Tubis y Werbińska-Wojciechowska (2021), el índice basado en COSO 2017 que proponen Soner y Karadag (2026) para organizaciones de servicios y el trabajo de Jagrič et al. (2026) sobre la calidad de la gestión de riesgos corporativos. Aun así, la aplicación de COSO II en el nivel de tarea dentro de procesos de apoyo de empresas forestales sigue siendo escasa, lo que respalda la pertinencia de este trabajo como una contribución aplicada al sector.</w:t>
      </w:r>
    </w:p>
    <w:p>
      <w:pPr>
        <w:pStyle w:val="Heading3"/>
      </w:pPr>
      <w:r>
        <w:t xml:space="preserve">1.4.5. Sistemas de gestión de riesgos</w:t>
      </w:r>
    </w:p>
    <w:p>
      <w:r>
        <w:t xml:space="preserve">Un sistema de gestión de riesgos es el conjunto ordenado de políticas, roles, procesos y herramientas con que una organización identifica, evalúa, trata, monitorea y comunica sus riesgos de forma continua y alineada con sus objetivos. Se distingue de un simple registro o catálogo porque integra la valoración de los riesgos con su tratamiento, su gobernanza y su seguimiento, lo que permite que la gestión se sostenga en el tiempo y no quede como un ejercicio aislado. Bajo COSO, un sistema de gestión de riesgos lleva los componentes de la gestión de riesgos empresariales a los distintos niveles de la organización (COSO, 2017).</w:t>
      </w:r>
    </w:p>
    <w:p>
      <w:r>
        <w:t xml:space="preserve">En este trabajo el sistema se articula alrededor del ciclo de identificación, evaluación y respuesta al riesgo en el nivel de tarea, y se complementa con una capa de gobernanza que define roles, responsabilidades y una taxonomía de riesgos, junto con indicadores clave de riesgo y un esquema de monitoreo y reporte.</w:t>
      </w:r>
    </w:p>
    <w:p>
      <w:r>
        <w:t xml:space="preserve">Para valorar el grado de desarrollo de estos sistemas, la literatura ofrece modelos de madurez, como el modelo de madurez de gestión de riesgo logístico de Tubis y Werbińska-Wojciechowska (2021) y el índice construido específicamente sobre COSO 2017 que proponen Soner y Karadag (2026).</w:t>
      </w:r>
    </w:p>
    <w:p>
      <w:pPr>
        <w:pStyle w:val="Heading2"/>
      </w:pPr>
      <w:r>
        <w:t xml:space="preserve">1.5. CASO DE ESTUDIO</w:t>
      </w:r>
    </w:p>
    <w:p>
      <w:r>
        <w:t xml:space="preserve">La elección de Arauco como caso de estudio responde a la relevancia económica, ambiental y estructural del sector en que opera. El sector forestal es uno de los sectores exportadores más importantes de Chile, tradicionalmente ubicado entre los principales después de la minería: solo entre enero y septiembre de 2024 las exportaciones forestales del país alcanzaron unos 4.073 millones de dólares (Marca Chile, 2024). Dentro de ese sector, la producción de celulosa se concentra en muy pocos actores, ya que Arauco y CMPC son las dos grandes productoras de celulosa del país, lo que otorga a cada una un peso decisivo en la cadena productiva nacional.</w:t>
      </w:r>
    </w:p>
    <w:p>
      <w:r>
        <w:t xml:space="preserve">Arauco es, además, una de las mayores empresas forestales del mundo, con operaciones en varios países y seis plantas de celulosa en Chile, y ha reforzado su perfil de sostenibilidad mediante la emisión de bonos sostenibles por unos 500 millones de dólares en 2023 (Celulosa Arauco y Constitución S.A., 2024). Por su escala, la actividad forestal y de celulosa conlleva un impacto ambiental y social significativo, con un uso intensivo de suelo, agua y energía, lo que hace especialmente pertinente gestionar de forma estructurada sus riesgos operacionales. Estudiar los macroprocesos de apoyo de una compañía de esta magnitud permite que los resultados tengan impacto real y sean, a la vez, representativos de una industria estratégica para el país.</w:t>
      </w:r>
    </w:p>
    <w:p>
      <w:r>
        <w:t xml:space="preserve">El caso de estudio corresponde a Celulosa Arauco y Constitución S.A., y el trabajo se centra en su Negocio de Celulosa. Ambos macroprocesos son de apoyo y se definen a nivel corporativo, no en cada planta, por lo que la unidad de análisis es el nivel corporativo que los diseña y no una planta en particular. Cabe precisar el alcance de cada uno: Gestión de Personas es transversal a los tres negocios de la compañía, esto es, celulosa, madera y forestal, de modo que su arquitectura se levanta en el nivel corporativo que rige para los tres, mientras que su ejecución se observa en el Negocio de Celulosa. Servicios Generales, por su parte, corresponde a los servicios de soporte operacional de las plantas del Negocio de Celulosa. Los macroprocesos objeto de estudio se describen en la Tabla 1.</w:t>
      </w:r>
    </w:p>
    <w:p>
      <w:pPr>
        <w:pStyle w:val="Caption"/>
        <w:keepNext/>
      </w:pPr>
      <w:r>
        <w:rPr>
          <w:b/>
        </w:rPr>
        <w:t xml:space="preserve">Tabla </w:t>
      </w:r>
      <w:fldSimple w:dirty="true" w:instr=" SEQ Tabla \* ARABIC ">
        <w:r>
          <w:t xml:space="preserve">1</w:t>
        </w:r>
      </w:fldSimple>
      <w:r>
        <w:rPr>
          <w:b/>
        </w:rPr>
        <w:t xml:space="preserve">. </w:t>
      </w:r>
      <w:r>
        <w:t xml:space="preserve">Macroprocesos de apoyo objeto de estudio.</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900"/>
        <w:gridCol w:w="5320"/>
        <w:gridCol w:w="1900"/>
      </w:tblGrid>
      <w:tr>
        <w:trPr>
          <w:tblHeader/>
        </w:trPr>
        <w:tc>
          <w:tcPr>
            <w:tcW w:w="1900" w:type="dxa"/>
            <w:shd w:val="clear" w:color="auto" w:fill="D9D9D9"/>
            <w:vAlign w:val="center"/>
          </w:tcPr>
          <w:p>
            <w:pPr>
              <w:spacing w:before="20" w:after="20" w:line="240" w:lineRule="auto"/>
              <w:jc w:val="center"/>
              <w:rPr>
                <w:sz w:val="20"/>
                <w:szCs w:val="20"/>
              </w:rPr>
            </w:pPr>
            <w:r>
              <w:rPr>
                <w:b/>
                <w:sz w:val="20"/>
                <w:szCs w:val="20"/>
              </w:rPr>
              <w:t xml:space="preserve">Macroproceso</w:t>
            </w:r>
          </w:p>
        </w:tc>
        <w:tc>
          <w:tcPr>
            <w:tcW w:w="5320" w:type="dxa"/>
            <w:shd w:val="clear" w:color="auto" w:fill="D9D9D9"/>
            <w:vAlign w:val="center"/>
          </w:tcPr>
          <w:p>
            <w:pPr>
              <w:spacing w:before="20" w:after="20" w:line="240" w:lineRule="auto"/>
              <w:jc w:val="center"/>
              <w:rPr>
                <w:sz w:val="20"/>
                <w:szCs w:val="20"/>
              </w:rPr>
            </w:pPr>
            <w:r>
              <w:rPr>
                <w:b/>
                <w:sz w:val="20"/>
                <w:szCs w:val="20"/>
              </w:rPr>
              <w:t xml:space="preserve">Descripción</w:t>
            </w:r>
          </w:p>
        </w:tc>
        <w:tc>
          <w:tcPr>
            <w:tcW w:w="1900" w:type="dxa"/>
            <w:shd w:val="clear" w:color="auto" w:fill="D9D9D9"/>
            <w:vAlign w:val="center"/>
          </w:tcPr>
          <w:p>
            <w:pPr>
              <w:spacing w:before="20" w:after="20" w:line="240" w:lineRule="auto"/>
              <w:jc w:val="center"/>
              <w:rPr>
                <w:sz w:val="20"/>
                <w:szCs w:val="20"/>
              </w:rPr>
            </w:pPr>
            <w:r>
              <w:rPr>
                <w:b/>
                <w:sz w:val="20"/>
                <w:szCs w:val="20"/>
              </w:rPr>
              <w:t xml:space="preserve">Estructura interna</w:t>
            </w:r>
          </w:p>
        </w:tc>
      </w:tr>
      <w:tr>
        <w:tc>
          <w:tcPr>
            <w:tcW w:w="1900" w:type="dxa"/>
            <w:vAlign w:val="center"/>
          </w:tcPr>
          <w:p>
            <w:pPr>
              <w:spacing w:before="20" w:after="20" w:line="240" w:lineRule="auto"/>
              <w:jc w:val="left"/>
              <w:rPr>
                <w:sz w:val="20"/>
                <w:szCs w:val="20"/>
              </w:rPr>
            </w:pPr>
            <w:r>
              <w:rPr>
                <w:sz w:val="20"/>
                <w:szCs w:val="20"/>
              </w:rPr>
              <w:t xml:space="preserve">MP8. Gestión de Personas</w:t>
            </w:r>
          </w:p>
        </w:tc>
        <w:tc>
          <w:tcPr>
            <w:tcW w:w="5320" w:type="dxa"/>
            <w:vAlign w:val="center"/>
          </w:tcPr>
          <w:p>
            <w:pPr>
              <w:spacing w:before="20" w:after="20" w:line="240" w:lineRule="auto"/>
              <w:jc w:val="left"/>
              <w:rPr>
                <w:sz w:val="20"/>
                <w:szCs w:val="20"/>
              </w:rPr>
            </w:pPr>
            <w:r>
              <w:rPr>
                <w:sz w:val="20"/>
                <w:szCs w:val="20"/>
              </w:rPr>
              <w:t xml:space="preserve">Macroproceso de apoyo responsable de la administración del ciclo de vida del colaborador en la organización, desde la atracción y selección hasta la desvinculación, incluyendo la gestión del desempeño, capacitación, bienestar y relaciones laborales.</w:t>
            </w:r>
          </w:p>
        </w:tc>
        <w:tc>
          <w:tcPr>
            <w:tcW w:w="1900" w:type="dxa"/>
            <w:vAlign w:val="center"/>
          </w:tcPr>
          <w:p>
            <w:pPr>
              <w:spacing w:before="20" w:after="20" w:line="240" w:lineRule="auto"/>
              <w:jc w:val="left"/>
              <w:rPr>
                <w:sz w:val="20"/>
                <w:szCs w:val="20"/>
              </w:rPr>
            </w:pPr>
            <w:r>
              <w:rPr>
                <w:sz w:val="20"/>
                <w:szCs w:val="20"/>
              </w:rPr>
              <w:t xml:space="preserve">Ocho grandes áreas funcionales, denominadas internamente A a H.</w:t>
            </w:r>
          </w:p>
        </w:tc>
      </w:tr>
      <w:tr>
        <w:tc>
          <w:tcPr>
            <w:tcW w:w="1900" w:type="dxa"/>
            <w:vAlign w:val="center"/>
          </w:tcPr>
          <w:p>
            <w:pPr>
              <w:spacing w:before="20" w:after="20" w:line="240" w:lineRule="auto"/>
              <w:jc w:val="left"/>
              <w:rPr>
                <w:sz w:val="20"/>
                <w:szCs w:val="20"/>
              </w:rPr>
            </w:pPr>
            <w:r>
              <w:rPr>
                <w:sz w:val="20"/>
                <w:szCs w:val="20"/>
              </w:rPr>
              <w:t xml:space="preserve">MP21. Servicios Generales</w:t>
            </w:r>
          </w:p>
        </w:tc>
        <w:tc>
          <w:tcPr>
            <w:tcW w:w="5320" w:type="dxa"/>
            <w:vAlign w:val="center"/>
          </w:tcPr>
          <w:p>
            <w:pPr>
              <w:spacing w:before="20" w:after="20" w:line="240" w:lineRule="auto"/>
              <w:jc w:val="left"/>
              <w:rPr>
                <w:sz w:val="20"/>
                <w:szCs w:val="20"/>
              </w:rPr>
            </w:pPr>
            <w:r>
              <w:rPr>
                <w:sz w:val="20"/>
                <w:szCs w:val="20"/>
              </w:rPr>
              <w:t xml:space="preserve">Macroproceso de apoyo responsable de la gestión de los servicios de soporte operacional de las plantas, incluyendo la gestión estratégica, la planificación, la administración y la terminación de contratos de servicios.</w:t>
            </w:r>
          </w:p>
        </w:tc>
        <w:tc>
          <w:tcPr>
            <w:tcW w:w="1900" w:type="dxa"/>
            <w:vAlign w:val="center"/>
          </w:tcPr>
          <w:p>
            <w:pPr>
              <w:spacing w:before="20" w:after="20" w:line="240" w:lineRule="auto"/>
              <w:jc w:val="left"/>
              <w:rPr>
                <w:sz w:val="20"/>
                <w:szCs w:val="20"/>
              </w:rPr>
            </w:pPr>
            <w:r>
              <w:rPr>
                <w:sz w:val="20"/>
                <w:szCs w:val="20"/>
              </w:rPr>
              <w:t xml:space="preserve">Once subprocesos distribuidos en cuatro áreas funcionales.</w:t>
            </w:r>
          </w:p>
        </w:tc>
      </w:tr>
    </w:tbl>
    <w:p>
      <w:pPr>
        <w:pStyle w:val="Fuente"/>
      </w:pPr>
      <w:r>
        <w:t xml:space="preserve">Fuente: Elaboración propia a partir de la documentación interna de Arauco.</w:t>
      </w:r>
    </w:p>
    <w:p>
      <w:r>
        <w:t xml:space="preserve">El levantamiento y la validación se realizan con los dueños de proceso de MP8 y MP21 a nivel corporativo, es decir, con los responsables que definen ambos macroprocesos para el conjunto de las plantas. La elección de este nivel de análisis obedece a la naturaleza transversal de los macroprocesos y a la disposición formal de la organización para participar en el desarrollo de este trabajo.</w:t>
      </w:r>
    </w:p>
    <w:p>
      <w:pPr>
        <w:pStyle w:val="Heading3"/>
      </w:pPr>
      <w:r>
        <w:t xml:space="preserve">1.5.1. Contexto organizacional: Arauco y el Modelo de Gestión Operacional</w:t>
      </w:r>
    </w:p>
    <w:p>
      <w:r>
        <w:t xml:space="preserve">Arauco es una de las mayores empresas forestales del mundo, con operaciones en Chile, Argentina, Brasil, Uruguay y Norteamérica. En Chile opera seis plantas productivas de celulosa, ubicadas en las localidades de Arauco, Valdivia, Nueva Aldea, Licancel, Constitución y Horcones, que ejecutan los mismos macroprocesos de apoyo con distintos grados de estandarización. La compañía cuenta con un Modelo de Gestión Operacional que fija los lineamientos para gestionar sus procesos, pero los macroprocesos de Gestión de Personas y Servicios Generales todavía no disponen de una arquitectura formalizada bajo ese modelo. Esa ausencia genera brechas de estandarización entre plantas y limita la capacidad de identificar los riesgos operacionales de manera sistemática.</w:t>
      </w:r>
    </w:p>
    <w:p>
      <w:pPr>
        <w:pStyle w:val="Heading2"/>
      </w:pPr>
      <w:r>
        <w:t xml:space="preserve">1.6. OBJETIVOS</w:t>
      </w:r>
    </w:p>
    <w:p>
      <w:pPr>
        <w:pStyle w:val="Heading3"/>
      </w:pPr>
      <w:r>
        <w:t xml:space="preserve">1.6.1. Objetivo general</w:t>
      </w:r>
    </w:p>
    <w:p>
      <w:r>
        <w:t xml:space="preserve">Estructurar un sistema de gestión de riesgos según metodología COSO II para los macroprocesos de Gestión de Personas (MP8) y Servicios Generales (MP21) de Celulosa Arauco y Constitución S.A.</w:t>
      </w:r>
    </w:p>
    <w:p>
      <w:pPr>
        <w:pStyle w:val="Heading3"/>
      </w:pPr>
      <w:r>
        <w:t xml:space="preserve">1.6.2. Objetivos específicos</w:t>
      </w:r>
    </w:p>
    <w:p>
      <w:r>
        <w:t xml:space="preserve">Los objetivos específicos del trabajo son los siguientes:</w:t>
      </w:r>
    </w:p>
    <w:p>
      <w:pPr>
        <w:pStyle w:val="Vineta"/>
      </w:pPr>
      <w:r>
        <w:t xml:space="preserve">-  OE1. Modelar la arquitectura de procesos de los macroprocesos Gestión de Personas (MP8) y Servicios Generales (MP21), desde sus procesos hasta sus tareas, según el marco del Modelo de Gestión Operacional.</w:t>
      </w:r>
    </w:p>
    <w:p>
      <w:pPr>
        <w:pStyle w:val="Vineta"/>
      </w:pPr>
      <w:r>
        <w:t xml:space="preserve">-  OE2. Evaluar los riesgos operacionales asociados a las tareas modeladas de ambos macroprocesos según metodología COSO II.</w:t>
      </w:r>
    </w:p>
    <w:p>
      <w:pPr>
        <w:pStyle w:val="Vineta"/>
      </w:pPr>
      <w:r>
        <w:t xml:space="preserve">-  OE3. Elaborar el sistema de gestión de riesgos para MP8 y MP21, integrando el catálogo de riesgos y sus planes de mitigación según metodología COSO II.</w:t>
      </w:r>
    </w:p>
    <w:p>
      <w:pPr>
        <w:pStyle w:val="Heading3"/>
      </w:pPr>
      <w:r>
        <w:t xml:space="preserve">1.6.3. Alcance de los objetivos</w:t>
      </w:r>
    </w:p>
    <w:p>
      <w:r>
        <w:t xml:space="preserve">El modelamiento de la arquitectura de procesos (OE1) abarca cinco niveles jerárquicos, correspondientes a macroproceso, proceso, subproceso, actividad y tarea, para ambos macroprocesos, utilizando el Modelo de Gestión Operacional de Arauco como marco normativo de referencia y el Process Classification Framework de APQC v8.0 como referencia de clasificación de apoyo. La evaluación de riesgos (OE2) se aplica sobre la totalidad de las tareas modeladas en OE1, conforme a la metodología COSO II. La elaboración del sistema de gestión de riesgos (OE3) integra el catálogo de riesgos evaluados con sus planes de mitigación y una capa de gobernanza y monitoreo.</w:t>
      </w:r>
    </w:p>
    <w:p>
      <w:r>
        <w:t xml:space="preserve">El trabajo se desarrolla sobre Celulosa Arauco y Constitución S.A., cuyos macroprocesos MP8 y MP21 son transversales a las seis plantas. El entregable final es un sistema de gestión de riesgos basado en COSO II para ambos macroprocesos, sustentado en la arquitectura de procesos modelada, expresada en los manuales de procesos de MP8 y MP21, y en el catálogo de riesgos con sus planes de mitigación. El trabajo no incluye la implementación del sistema ni la ejecución de los planes de mitigación diseñados.</w:t>
      </w:r>
    </w:p>
    <w:p>
      <w:pPr>
        <w:pStyle w:val="Heading1"/>
      </w:pPr>
      <w:r>
        <w:t xml:space="preserve">CAPÍTULO 2 METODOLOGÍA</w:t>
      </w:r>
    </w:p>
    <w:p>
      <w:r>
        <w:t xml:space="preserve">Este capítulo describe el diseño de investigación adoptado, la unidad de análisis y los participantes, los métodos previstos para el cumplimiento de cada objetivo específico, los indicadores de logro con que se evalúa ese cumplimiento, los instrumentos de recolección de datos, los mecanismos de análisis y las consideraciones éticas y de confidencialidad.</w:t>
      </w:r>
    </w:p>
    <w:p>
      <w:pPr>
        <w:pStyle w:val="Heading2"/>
      </w:pPr>
      <w:r>
        <w:t xml:space="preserve">2.1. DISEÑO DE INVESTIGACIÓN</w:t>
      </w:r>
    </w:p>
    <w:p>
      <w:r>
        <w:t xml:space="preserve">El presente trabajo se enmarca en un diseño de investigación descriptivo-aplicado con estrategia descriptiva de tipo observacional, conforme a la clasificación de diseños de investigación propuesta por Ato et al. (2013). Se trata de un estudio de caso único, Celulosa Arauco y Constitución S.A., de carácter no experimental, prospectivo y transversal respecto del modelamiento, y longitudinal respecto de la evaluación de riesgos y la elaboración del sistema.</w:t>
      </w:r>
    </w:p>
    <w:p>
      <w:r>
        <w:t xml:space="preserve">La investigación busca documentar y analizar el estado actual de los macroprocesos MP8 y MP21, modelar su arquitectura bajo el Modelo de Gestión Operacional e identificar sus riesgos operacionales, generando entregables de valor directo para la organización. En consecuencia, el diseño no persigue establecer relaciones causales ni generalizaciones estadísticas, sino describir y estructurar de forma sistemática una realidad organizacional acotada.</w:t>
      </w:r>
    </w:p>
    <w:p>
      <w:r>
        <w:t xml:space="preserve">La Figura 1 sintetiza la secuencia metodológica del trabajo y su articulación con los objetivos específicos y sus indicadores de logro.</w:t>
      </w:r>
    </w:p>
    <w:p>
      <w:pPr>
        <w:pStyle w:val="Caption"/>
        <w:keepNext/>
      </w:pPr>
      <w:r>
        <w:rPr>
          <w:b/>
        </w:rPr>
        <w:t xml:space="preserve">Figura </w:t>
      </w:r>
      <w:fldSimple w:dirty="true" w:instr=" SEQ Figura \* ARABIC ">
        <w:r>
          <w:t xml:space="preserve">1</w:t>
        </w:r>
      </w:fldSimple>
      <w:r>
        <w:rPr>
          <w:b/>
        </w:rPr>
        <w:t xml:space="preserve">. </w:t>
      </w:r>
      <w:r>
        <w:t xml:space="preserve">Flujo metodológico del Trabajo Final de Grado.</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9120"/>
      </w:tblGrid>
      <w:tr>
        <w:tc>
          <w:tcPr>
            <w:tcW w:w="9120" w:type="dxa"/>
            <w:shd w:val="clear" w:color="auto" w:fill="F2F2F2"/>
            <w:vAlign w:val="center"/>
          </w:tcPr>
          <w:p>
            <w:pPr>
              <w:spacing w:before="20" w:after="20" w:line="240" w:lineRule="auto"/>
              <w:jc w:val="center"/>
              <w:rPr>
                <w:sz w:val="20"/>
                <w:szCs w:val="20"/>
              </w:rPr>
            </w:pPr>
            <w:r>
              <w:rPr>
                <w:sz w:val="20"/>
                <w:szCs w:val="20"/>
              </w:rPr>
              <w:t xml:space="preserve">OE1. Modelamiento de la arquitectura de procesos
Arquitectura de MP8 y MP21 en cinco niveles (proceso, subproceso, actividad y tarea) bajo el Modelo de Gestión Operacional.
Indicador: CAP (Cobertura de Arquitectura de Procesos).</w:t>
            </w:r>
          </w:p>
        </w:tc>
      </w:tr>
      <w:tr>
        <w:tc>
          <w:tcPr>
            <w:tcW w:w="9120" w:type="dxa"/>
            <w:vAlign w:val="center"/>
          </w:tcPr>
          <w:p>
            <w:pPr>
              <w:spacing w:before="20" w:after="20" w:line="240" w:lineRule="auto"/>
              <w:jc w:val="center"/>
              <w:rPr>
                <w:sz w:val="20"/>
                <w:szCs w:val="20"/>
              </w:rPr>
            </w:pPr>
            <w:r>
              <w:rPr>
                <w:sz w:val="20"/>
                <w:szCs w:val="20"/>
              </w:rPr>
              <w:t xml:space="preserve">▼</w:t>
            </w:r>
          </w:p>
        </w:tc>
      </w:tr>
      <w:tr>
        <w:tc>
          <w:tcPr>
            <w:tcW w:w="9120" w:type="dxa"/>
            <w:shd w:val="clear" w:color="auto" w:fill="F2F2F2"/>
            <w:vAlign w:val="center"/>
          </w:tcPr>
          <w:p>
            <w:pPr>
              <w:spacing w:before="20" w:after="20" w:line="240" w:lineRule="auto"/>
              <w:jc w:val="center"/>
              <w:rPr>
                <w:sz w:val="20"/>
                <w:szCs w:val="20"/>
              </w:rPr>
            </w:pPr>
            <w:r>
              <w:rPr>
                <w:sz w:val="20"/>
                <w:szCs w:val="20"/>
              </w:rPr>
              <w:t xml:space="preserve">OE2. Evaluación de riesgos por tarea (COSO II)
Identificación de eventos y valoración: riesgo inherente, controles y riesgo residual.
Indicador: TCER (Tasa de Cobertura de Evaluación de Riesgos).</w:t>
            </w:r>
          </w:p>
        </w:tc>
      </w:tr>
      <w:tr>
        <w:tc>
          <w:tcPr>
            <w:tcW w:w="9120" w:type="dxa"/>
            <w:vAlign w:val="center"/>
          </w:tcPr>
          <w:p>
            <w:pPr>
              <w:spacing w:before="20" w:after="20" w:line="240" w:lineRule="auto"/>
              <w:jc w:val="center"/>
              <w:rPr>
                <w:sz w:val="20"/>
                <w:szCs w:val="20"/>
              </w:rPr>
            </w:pPr>
            <w:r>
              <w:rPr>
                <w:sz w:val="20"/>
                <w:szCs w:val="20"/>
              </w:rPr>
              <w:t xml:space="preserve">▼</w:t>
            </w:r>
          </w:p>
        </w:tc>
      </w:tr>
      <w:tr>
        <w:tc>
          <w:tcPr>
            <w:tcW w:w="9120" w:type="dxa"/>
            <w:shd w:val="clear" w:color="auto" w:fill="F2F2F2"/>
            <w:vAlign w:val="center"/>
          </w:tcPr>
          <w:p>
            <w:pPr>
              <w:spacing w:before="20" w:after="20" w:line="240" w:lineRule="auto"/>
              <w:jc w:val="center"/>
              <w:rPr>
                <w:sz w:val="20"/>
                <w:szCs w:val="20"/>
              </w:rPr>
            </w:pPr>
            <w:r>
              <w:rPr>
                <w:sz w:val="20"/>
                <w:szCs w:val="20"/>
              </w:rPr>
              <w:t xml:space="preserve">OE3. Elaboración del sistema de gestión de riesgos
Integración del catálogo de riesgos, los planes de mitigación y una capa de gobernanza y monitoreo.
Indicador: CRPM (Cobertura de Riesgos con Plan de Mitigación).</w:t>
            </w:r>
          </w:p>
        </w:tc>
      </w:tr>
      <w:tr>
        <w:tc>
          <w:tcPr>
            <w:tcW w:w="9120" w:type="dxa"/>
            <w:vAlign w:val="center"/>
          </w:tcPr>
          <w:p>
            <w:pPr>
              <w:spacing w:before="20" w:after="20" w:line="240" w:lineRule="auto"/>
              <w:jc w:val="center"/>
              <w:rPr>
                <w:sz w:val="20"/>
                <w:szCs w:val="20"/>
              </w:rPr>
            </w:pPr>
            <w:r>
              <w:rPr>
                <w:sz w:val="20"/>
                <w:szCs w:val="20"/>
              </w:rPr>
              <w:t xml:space="preserve">▼</w:t>
            </w:r>
          </w:p>
        </w:tc>
      </w:tr>
      <w:tr>
        <w:tc>
          <w:tcPr>
            <w:tcW w:w="9120" w:type="dxa"/>
            <w:shd w:val="clear" w:color="auto" w:fill="D9D9D9"/>
            <w:vAlign w:val="center"/>
          </w:tcPr>
          <w:p>
            <w:pPr>
              <w:spacing w:before="20" w:after="20" w:line="240" w:lineRule="auto"/>
              <w:jc w:val="center"/>
              <w:rPr>
                <w:sz w:val="20"/>
                <w:szCs w:val="20"/>
              </w:rPr>
            </w:pPr>
            <w:r>
              <w:rPr>
                <w:sz w:val="20"/>
                <w:szCs w:val="20"/>
              </w:rPr>
              <w:t xml:space="preserve">Entregable
Sistema de gestión de riesgos COSO II para MP8 y MP21, sustentado en la arquitectura de procesos modelada (manuales MP8 y MP21) y en el catálogo de riesgos con sus planes de mitigación.</w:t>
            </w:r>
          </w:p>
        </w:tc>
      </w:tr>
    </w:tbl>
    <w:p>
      <w:pPr>
        <w:pStyle w:val="Fuente"/>
      </w:pPr>
      <w:r>
        <w:t xml:space="preserve">Fuente: Elaboración propia.</w:t>
      </w:r>
    </w:p>
    <w:p>
      <w:pPr>
        <w:pStyle w:val="Heading2"/>
      </w:pPr>
      <w:r>
        <w:t xml:space="preserve">2.2. UNIDAD DE ANÁLISIS Y PARTICIPANTES</w:t>
      </w:r>
    </w:p>
    <w:p>
      <w:r>
        <w:t xml:space="preserve">La unidad de análisis es el nivel corporativo de Celulosa Arauco y Constitución S.A. en que se definen ambos macroprocesos de apoyo, y el trabajo se delimita al Negocio de Celulosa. Gestión de Personas se rige por lineamientos corporativos transversales a los negocios de celulosa, madera y forestal, por lo que su arquitectura se levanta en ese nivel; Servicios Generales corresponde al soporte operacional de las plantas del Negocio de Celulosa. Los participantes son los dueños de proceso de ambos macroprocesos a nivel corporativo, esto es, los responsables que definen su diseño y sus lineamientos, junto con las jefaturas y los especialistas que estos designen para el levantamiento de detalle.</w:t>
      </w:r>
    </w:p>
    <w:p>
      <w:r>
        <w:t xml:space="preserve">Con el fin de resguardar la confidencialidad acordada con la compañía, en el presente informe los participantes se identifican por su rol organizacional y no por su nombre, criterio que se aplica también a los resultados expuestos en el Capítulo 3.</w:t>
      </w:r>
    </w:p>
    <w:p>
      <w:r>
        <w:t xml:space="preserve">El investigador participa en calidad de ingeniero de gestión de procesos de la compañía y actúa como facilitador del levantamiento, del modelamiento y de los talleres de análisis de riesgo. Esta condición facilita el acceso a la documentación y a los participantes, y a la vez exige explicitar la distinción entre el trabajo desarrollado en el rol profesional y su documentación y análisis en el marco académico de este Trabajo Final de Grado.</w:t>
      </w:r>
    </w:p>
    <w:p>
      <w:pPr>
        <w:pStyle w:val="Heading2"/>
      </w:pPr>
      <w:r>
        <w:t xml:space="preserve">2.3. MÉTODOS POR OBJETIVO ESPECÍFICO</w:t>
      </w:r>
    </w:p>
    <w:p>
      <w:r>
        <w:t xml:space="preserve">A continuación se describe la metodología prevista para el cumplimiento de cada objetivo específico.</w:t>
      </w:r>
    </w:p>
    <w:p>
      <w:pPr>
        <w:pStyle w:val="Heading3"/>
      </w:pPr>
      <w:r>
        <w:t xml:space="preserve">2.3.1. Objetivo específico 1: modelamiento de la arquitectura de procesos</w:t>
      </w:r>
    </w:p>
    <w:p>
      <w:r>
        <w:t xml:space="preserve">El indicador de logro asociado a este objetivo es la Cobertura de Arquitectura de Procesos (CAP), definida como el porcentaje de procesos, subprocesos, actividades y tareas de MP8 y MP21 formalmente modelados en los cinco niveles jerárquicos bajo el Modelo de Gestión Operacional. El estado inicial es la ausencia de una arquitectura de procesos formal; el estado final esperado es el 100% de la arquitectura modelada y consolidada en dos manuales de procesos validados.</w:t>
      </w:r>
    </w:p>
    <w:p>
      <w:r>
        <w:t xml:space="preserve">Evaluación del estado inicial. Se realiza una revisión documental de los antecedentes existentes en Arauco relativos a MP8 y MP21, que incluye organigramas, descripciones de cargos, procedimientos y registros de proceso disponibles, junto con un diagnóstico preliminar del grado de formalización existente. De manera complementaria, se emplea el Process Classification Framework de APQC v8.0 como referencia de clasificación para contrastar los procesos que deberían existir en macroprocesos de gestión de personas y servicios generales frente a los efectivamente documentados en la compañía.</w:t>
      </w:r>
    </w:p>
    <w:p>
      <w:r>
        <w:t xml:space="preserve">Intervención. El modelamiento se realiza mediante entrevistas y sesiones de trabajo con los dueños de proceso de MP8 y MP21 a nivel corporativo, y se ejecuta en dos etapas sucesivas por macroproceso. La primera etapa consiste en levantar y diagramar el flujo único de información del macroproceso, trazando la cadena SIPOC de forma continua desde el primer proveedor hasta el último cliente, con el orden y el punto de arranque que establece el Process Classification Framework de APQC v8.0 para la categoría correspondiente. La segunda etapa consiste en segmentar ese flujo en los cinco niveles jerárquicos del Modelo de Gestión Operacional, de manera que la jerarquía se derive del flujo levantado y no se imponga sobre él. Para cada elemento se documentan el nombre, la descripción, las entradas y salidas, los responsables bajo un esquema RACI simplificado, los sistemas de apoyo y la frecuencia de ejecución. Los resultados se consolidan en dos manuales de procesos, primero para MP8 y luego para MP21.</w:t>
      </w:r>
    </w:p>
    <w:p>
      <w:r>
        <w:t xml:space="preserve">La secuencia descrita responde a una condición del caso: la compañía no organiza estos macroprocesos por procesos, sino por áreas funcionales, de modo que la jerarquía no está disponible como punto de partida. Establecerla por anticipado obligaría a suponer agrupaciones que la organización no tiene declaradas, mientras que derivarla del flujo levantado permite que la segmentación se apoye en la secuencia real de entregas de información entre responsables. Este orden de ejecución precisa el modo de realizar el modelamiento y no altera el objetivo específico, su indicador de logro ni los entregables comprometidos: el flujo único constituye un producto intermedio y la arquitectura en cinco niveles se mantiene como resultado exigido.</w:t>
      </w:r>
    </w:p>
    <w:p>
      <w:r>
        <w:t xml:space="preserve">El levantamiento se rige por una regla de trazabilidad: cada elemento del flujo debe respaldarse en un procedimiento vigente de la compañía, en el registro de una entrevista o en el Process Classification Framework. Cuando un elemento se identifica como necesario pero ninguna de esas tres fuentes permite describir su contenido, no se completa por estimación, sino que se declara explícitamente como brecha de levantamiento pendiente, con indicación del rol con quien debe cerrarse.</w:t>
      </w:r>
    </w:p>
    <w:p>
      <w:r>
        <w:t xml:space="preserve">Evaluación del indicador de logro. La CAP se calcula al cierre del modelamiento de cada macroproceso, como el cociente entre los procesos efectivamente documentados en los cinco niveles jerárquicos y el total de procesos identificados para ambos macroprocesos. Dado que el indicador exige la arquitectura segmentada en los cinco niveles, la primera etapa del modelamiento no incrementa por sí sola su valor; para dar cuenta del avance intermedio se reporta de forma complementaria la cobertura de trazabilidad del flujo levantado, definida como el porcentaje de sus elementos que cuentan con respaldo en documento, entrevista o Process Classification Framework. El entregable de este objetivo son los dos manuales de procesos de MP8 y MP21, que se validan formalmente con los dueños de proceso a nivel corporativo.</w:t>
      </w:r>
    </w:p>
    <w:p>
      <w:pPr>
        <w:pStyle w:val="Heading3"/>
      </w:pPr>
      <w:r>
        <w:t xml:space="preserve">2.3.2. Objetivo específico 2: evaluación de riesgos por tarea</w:t>
      </w:r>
    </w:p>
    <w:p>
      <w:r>
        <w:t xml:space="preserve">El indicador de logro asociado a este objetivo es la Tasa de Cobertura de Evaluación de Riesgos (TCER), definida como el porcentaje de tareas modeladas en OE1 que cuentan con al menos un riesgo identificado y valorado, en términos de riesgo inherente y residual, según COSO II. El estado inicial es la ausencia de identificación y valoración de riesgos por tarea; el estado final esperado es el 100% de las tareas evaluadas.</w:t>
      </w:r>
    </w:p>
    <w:p>
      <w:r>
        <w:t xml:space="preserve">Evaluación del estado inicial. La arquitectura de procesos modelada en OE1 provee la base para la evaluación, al delimitar el universo de tareas sobre el cual se identifican y valoran los riesgos. Se verifica además la existencia de registros previos de gestión de riesgos en Arauco para MP8 y MP21.</w:t>
      </w:r>
    </w:p>
    <w:p>
      <w:r>
        <w:t xml:space="preserve">Intervención. La evaluación se realiza sobre la totalidad de las tareas modeladas, aplicando la metodología COSO II. Para cada tarea se identifican los eventos de riesgo y, para cada uno, su categoría, la probabilidad de ocurrencia, el impacto potencial, el riesgo inherente, los controles existentes y el riesgo residual. El levantamiento se efectúa mediante talleres de análisis de riesgo con los dueños de proceso, con el investigador como facilitador.</w:t>
      </w:r>
    </w:p>
    <w:p>
      <w:r>
        <w:t xml:space="preserve">Evaluación del indicador de logro. La TCER se calcula como el cociente entre las tareas con al menos un riesgo identificado y valorado bajo COSO II y el total de tareas modeladas en OE1, expresado en porcentaje. El entregable es la matriz de riesgos consolidada, que se valida con los dueños de proceso a nivel corporativo y con el Profesor Guía.</w:t>
      </w:r>
    </w:p>
    <w:p>
      <w:pPr>
        <w:pStyle w:val="Heading3"/>
      </w:pPr>
      <w:r>
        <w:t xml:space="preserve">2.3.3. Objetivo específico 3: elaboración del sistema de gestión de riesgos</w:t>
      </w:r>
    </w:p>
    <w:p>
      <w:r>
        <w:t xml:space="preserve">El indicador de logro asociado a este objetivo es la Cobertura de Riesgos con Plan de Mitigación (CRPM), definida como el porcentaje de riesgos evaluados en OE2 que quedan integrados al sistema de gestión de riesgos con un plan de mitigación documentado según COSO II. El estado inicial es la ausencia de un sistema de gestión de riesgos y de planes de mitigación; el estado final esperado es el 100% de los riesgos con plan de mitigación integrado.</w:t>
      </w:r>
    </w:p>
    <w:p>
      <w:r>
        <w:t xml:space="preserve">Evaluación del estado inicial. La evaluación de riesgos consolidada en OE2 constituye el insumo para la elaboración del sistema. Se verifica la existencia de controles y planes de acción previos en Arauco que puedan incorporarse al sistema.</w:t>
      </w:r>
    </w:p>
    <w:p>
      <w:r>
        <w:t xml:space="preserve">Intervención. A partir del riesgo residual de cada riesgo evaluado se diseñan los planes de mitigación, correspondientes a la respuesta al riesgo. El sistema de gestión de riesgos se estructura integrando el catálogo de riesgos y sus planes de mitigación con una capa de gobernanza que define roles, responsabilidades y una taxonomía de riesgos, junto con indicadores clave de riesgo y un esquema de monitoreo y reporte. El sistema resultante se presenta y valida con la alta gerencia de la compañía, por tratarse de un entregable de nivel gerencial para la toma de decisiones.</w:t>
      </w:r>
    </w:p>
    <w:p>
      <w:r>
        <w:t xml:space="preserve">Evaluación del indicador de logro. La CRPM se calcula como el cociente entre los riesgos integrados al sistema con plan de mitigación documentado y el total de riesgos evaluados en OE2, expresado en porcentaje.</w:t>
      </w:r>
    </w:p>
    <w:p>
      <w:pPr>
        <w:pStyle w:val="Heading2"/>
      </w:pPr>
      <w:r>
        <w:t xml:space="preserve">2.4. INDICADORES DE LOGRO</w:t>
      </w:r>
    </w:p>
    <w:p>
      <w:r>
        <w:t xml:space="preserve">La Tabla 2 resume los indicadores de logro, los estados iniciales y los estados finales esperados para cada objetivo específico.</w:t>
      </w:r>
    </w:p>
    <w:p>
      <w:pPr>
        <w:pStyle w:val="Caption"/>
        <w:keepNext/>
      </w:pPr>
      <w:r>
        <w:rPr>
          <w:b/>
        </w:rPr>
        <w:t xml:space="preserve">Tabla </w:t>
      </w:r>
      <w:fldSimple w:dirty="true" w:instr=" SEQ Tabla \* ARABIC ">
        <w:r>
          <w:t xml:space="preserve">1</w:t>
        </w:r>
      </w:fldSimple>
      <w:r>
        <w:rPr>
          <w:b/>
        </w:rPr>
        <w:t xml:space="preserve">. </w:t>
      </w:r>
      <w:r>
        <w:t xml:space="preserve">Indicadores de logro por objetivo específico.</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620"/>
        <w:gridCol w:w="2100"/>
        <w:gridCol w:w="3200"/>
        <w:gridCol w:w="3200"/>
      </w:tblGrid>
      <w:tr>
        <w:trPr>
          <w:tblHeader/>
        </w:trPr>
        <w:tc>
          <w:tcPr>
            <w:tcW w:w="620" w:type="dxa"/>
            <w:shd w:val="clear" w:color="auto" w:fill="D9D9D9"/>
            <w:vAlign w:val="center"/>
          </w:tcPr>
          <w:p>
            <w:pPr>
              <w:spacing w:before="20" w:after="20" w:line="240" w:lineRule="auto"/>
              <w:jc w:val="center"/>
              <w:rPr>
                <w:sz w:val="20"/>
                <w:szCs w:val="20"/>
              </w:rPr>
            </w:pPr>
            <w:r>
              <w:rPr>
                <w:b/>
                <w:sz w:val="20"/>
                <w:szCs w:val="20"/>
              </w:rPr>
              <w:t xml:space="preserve">OE</w:t>
            </w:r>
          </w:p>
        </w:tc>
        <w:tc>
          <w:tcPr>
            <w:tcW w:w="2100" w:type="dxa"/>
            <w:shd w:val="clear" w:color="auto" w:fill="D9D9D9"/>
            <w:vAlign w:val="center"/>
          </w:tcPr>
          <w:p>
            <w:pPr>
              <w:spacing w:before="20" w:after="20" w:line="240" w:lineRule="auto"/>
              <w:jc w:val="center"/>
              <w:rPr>
                <w:sz w:val="20"/>
                <w:szCs w:val="20"/>
              </w:rPr>
            </w:pPr>
            <w:r>
              <w:rPr>
                <w:b/>
                <w:sz w:val="20"/>
                <w:szCs w:val="20"/>
              </w:rPr>
              <w:t xml:space="preserve">Indicador de logro</w:t>
            </w:r>
          </w:p>
        </w:tc>
        <w:tc>
          <w:tcPr>
            <w:tcW w:w="3200" w:type="dxa"/>
            <w:shd w:val="clear" w:color="auto" w:fill="D9D9D9"/>
            <w:vAlign w:val="center"/>
          </w:tcPr>
          <w:p>
            <w:pPr>
              <w:spacing w:before="20" w:after="20" w:line="240" w:lineRule="auto"/>
              <w:jc w:val="center"/>
              <w:rPr>
                <w:sz w:val="20"/>
                <w:szCs w:val="20"/>
              </w:rPr>
            </w:pPr>
            <w:r>
              <w:rPr>
                <w:b/>
                <w:sz w:val="20"/>
                <w:szCs w:val="20"/>
              </w:rPr>
              <w:t xml:space="preserve">Estado inicial (línea base)</w:t>
            </w:r>
          </w:p>
        </w:tc>
        <w:tc>
          <w:tcPr>
            <w:tcW w:w="3200" w:type="dxa"/>
            <w:shd w:val="clear" w:color="auto" w:fill="D9D9D9"/>
            <w:vAlign w:val="center"/>
          </w:tcPr>
          <w:p>
            <w:pPr>
              <w:spacing w:before="20" w:after="20" w:line="240" w:lineRule="auto"/>
              <w:jc w:val="center"/>
              <w:rPr>
                <w:sz w:val="20"/>
                <w:szCs w:val="20"/>
              </w:rPr>
            </w:pPr>
            <w:r>
              <w:rPr>
                <w:b/>
                <w:sz w:val="20"/>
                <w:szCs w:val="20"/>
              </w:rPr>
              <w:t xml:space="preserve">Estado final esperado</w:t>
            </w:r>
          </w:p>
        </w:tc>
      </w:tr>
      <w:tr>
        <w:tc>
          <w:tcPr>
            <w:tcW w:w="620" w:type="dxa"/>
            <w:vAlign w:val="center"/>
          </w:tcPr>
          <w:p>
            <w:pPr>
              <w:spacing w:before="20" w:after="20" w:line="240" w:lineRule="auto"/>
              <w:jc w:val="center"/>
              <w:rPr>
                <w:sz w:val="20"/>
                <w:szCs w:val="20"/>
              </w:rPr>
            </w:pPr>
            <w:r>
              <w:rPr>
                <w:sz w:val="20"/>
                <w:szCs w:val="20"/>
              </w:rPr>
              <w:t xml:space="preserve">OE1</w:t>
            </w:r>
          </w:p>
        </w:tc>
        <w:tc>
          <w:tcPr>
            <w:tcW w:w="2100" w:type="dxa"/>
            <w:vAlign w:val="center"/>
          </w:tcPr>
          <w:p>
            <w:pPr>
              <w:spacing w:before="20" w:after="20" w:line="240" w:lineRule="auto"/>
              <w:jc w:val="left"/>
              <w:rPr>
                <w:sz w:val="20"/>
                <w:szCs w:val="20"/>
              </w:rPr>
            </w:pPr>
            <w:r>
              <w:rPr>
                <w:sz w:val="20"/>
                <w:szCs w:val="20"/>
              </w:rPr>
              <w:t xml:space="preserve">Cobertura de arquitectura de procesos (CAP)</w:t>
            </w:r>
          </w:p>
        </w:tc>
        <w:tc>
          <w:tcPr>
            <w:tcW w:w="3200" w:type="dxa"/>
            <w:vAlign w:val="center"/>
          </w:tcPr>
          <w:p>
            <w:pPr>
              <w:spacing w:before="20" w:after="20" w:line="240" w:lineRule="auto"/>
              <w:jc w:val="left"/>
              <w:rPr>
                <w:sz w:val="20"/>
                <w:szCs w:val="20"/>
              </w:rPr>
            </w:pPr>
            <w:r>
              <w:rPr>
                <w:sz w:val="20"/>
                <w:szCs w:val="20"/>
              </w:rPr>
              <w:t xml:space="preserve">Ausencia de una arquitectura de procesos formal de MP8 y MP21 en los cinco niveles jerárquicos bajo el Modelo de Gestión Operacional.</w:t>
            </w:r>
          </w:p>
        </w:tc>
        <w:tc>
          <w:tcPr>
            <w:tcW w:w="3200" w:type="dxa"/>
            <w:vAlign w:val="center"/>
          </w:tcPr>
          <w:p>
            <w:pPr>
              <w:spacing w:before="20" w:after="20" w:line="240" w:lineRule="auto"/>
              <w:jc w:val="left"/>
              <w:rPr>
                <w:sz w:val="20"/>
                <w:szCs w:val="20"/>
              </w:rPr>
            </w:pPr>
            <w:r>
              <w:rPr>
                <w:sz w:val="20"/>
                <w:szCs w:val="20"/>
              </w:rPr>
              <w:t xml:space="preserve">100% de la arquitectura de MP8 y MP21 modelada en cinco niveles, consolidada en dos manuales de procesos validados.</w:t>
            </w:r>
          </w:p>
        </w:tc>
      </w:tr>
      <w:tr>
        <w:tc>
          <w:tcPr>
            <w:tcW w:w="620" w:type="dxa"/>
            <w:vAlign w:val="center"/>
          </w:tcPr>
          <w:p>
            <w:pPr>
              <w:spacing w:before="20" w:after="20" w:line="240" w:lineRule="auto"/>
              <w:jc w:val="center"/>
              <w:rPr>
                <w:sz w:val="20"/>
                <w:szCs w:val="20"/>
              </w:rPr>
            </w:pPr>
            <w:r>
              <w:rPr>
                <w:sz w:val="20"/>
                <w:szCs w:val="20"/>
              </w:rPr>
              <w:t xml:space="preserve">OE2</w:t>
            </w:r>
          </w:p>
        </w:tc>
        <w:tc>
          <w:tcPr>
            <w:tcW w:w="2100" w:type="dxa"/>
            <w:vAlign w:val="center"/>
          </w:tcPr>
          <w:p>
            <w:pPr>
              <w:spacing w:before="20" w:after="20" w:line="240" w:lineRule="auto"/>
              <w:jc w:val="left"/>
              <w:rPr>
                <w:sz w:val="20"/>
                <w:szCs w:val="20"/>
              </w:rPr>
            </w:pPr>
            <w:r>
              <w:rPr>
                <w:sz w:val="20"/>
                <w:szCs w:val="20"/>
              </w:rPr>
              <w:t xml:space="preserve">Tasa de cobertura de evaluación de riesgos (TCER)</w:t>
            </w:r>
          </w:p>
        </w:tc>
        <w:tc>
          <w:tcPr>
            <w:tcW w:w="3200" w:type="dxa"/>
            <w:vAlign w:val="center"/>
          </w:tcPr>
          <w:p>
            <w:pPr>
              <w:spacing w:before="20" w:after="20" w:line="240" w:lineRule="auto"/>
              <w:jc w:val="left"/>
              <w:rPr>
                <w:sz w:val="20"/>
                <w:szCs w:val="20"/>
              </w:rPr>
            </w:pPr>
            <w:r>
              <w:rPr>
                <w:sz w:val="20"/>
                <w:szCs w:val="20"/>
              </w:rPr>
              <w:t xml:space="preserve">Ausencia de identificación y valoración de riesgos operacionales por tarea bajo COSO II.</w:t>
            </w:r>
          </w:p>
        </w:tc>
        <w:tc>
          <w:tcPr>
            <w:tcW w:w="3200" w:type="dxa"/>
            <w:vAlign w:val="center"/>
          </w:tcPr>
          <w:p>
            <w:pPr>
              <w:spacing w:before="20" w:after="20" w:line="240" w:lineRule="auto"/>
              <w:jc w:val="left"/>
              <w:rPr>
                <w:sz w:val="20"/>
                <w:szCs w:val="20"/>
              </w:rPr>
            </w:pPr>
            <w:r>
              <w:rPr>
                <w:sz w:val="20"/>
                <w:szCs w:val="20"/>
              </w:rPr>
              <w:t xml:space="preserve">100% de las tareas modeladas con al menos un riesgo identificado y valorado (riesgo inherente y residual) según COSO II.</w:t>
            </w:r>
          </w:p>
        </w:tc>
      </w:tr>
      <w:tr>
        <w:tc>
          <w:tcPr>
            <w:tcW w:w="620" w:type="dxa"/>
            <w:vAlign w:val="center"/>
          </w:tcPr>
          <w:p>
            <w:pPr>
              <w:spacing w:before="20" w:after="20" w:line="240" w:lineRule="auto"/>
              <w:jc w:val="center"/>
              <w:rPr>
                <w:sz w:val="20"/>
                <w:szCs w:val="20"/>
              </w:rPr>
            </w:pPr>
            <w:r>
              <w:rPr>
                <w:sz w:val="20"/>
                <w:szCs w:val="20"/>
              </w:rPr>
              <w:t xml:space="preserve">OE3</w:t>
            </w:r>
          </w:p>
        </w:tc>
        <w:tc>
          <w:tcPr>
            <w:tcW w:w="2100" w:type="dxa"/>
            <w:vAlign w:val="center"/>
          </w:tcPr>
          <w:p>
            <w:pPr>
              <w:spacing w:before="20" w:after="20" w:line="240" w:lineRule="auto"/>
              <w:jc w:val="left"/>
              <w:rPr>
                <w:sz w:val="20"/>
                <w:szCs w:val="20"/>
              </w:rPr>
            </w:pPr>
            <w:r>
              <w:rPr>
                <w:sz w:val="20"/>
                <w:szCs w:val="20"/>
              </w:rPr>
              <w:t xml:space="preserve">Cobertura de riesgos con plan de mitigación (CRPM)</w:t>
            </w:r>
          </w:p>
        </w:tc>
        <w:tc>
          <w:tcPr>
            <w:tcW w:w="3200" w:type="dxa"/>
            <w:vAlign w:val="center"/>
          </w:tcPr>
          <w:p>
            <w:pPr>
              <w:spacing w:before="20" w:after="20" w:line="240" w:lineRule="auto"/>
              <w:jc w:val="left"/>
              <w:rPr>
                <w:sz w:val="20"/>
                <w:szCs w:val="20"/>
              </w:rPr>
            </w:pPr>
            <w:r>
              <w:rPr>
                <w:sz w:val="20"/>
                <w:szCs w:val="20"/>
              </w:rPr>
              <w:t xml:space="preserve">Ausencia de un sistema de gestión de riesgos y de planes de mitigación para MP8 y MP21 bajo COSO II.</w:t>
            </w:r>
          </w:p>
        </w:tc>
        <w:tc>
          <w:tcPr>
            <w:tcW w:w="3200" w:type="dxa"/>
            <w:vAlign w:val="center"/>
          </w:tcPr>
          <w:p>
            <w:pPr>
              <w:spacing w:before="20" w:after="20" w:line="240" w:lineRule="auto"/>
              <w:jc w:val="left"/>
              <w:rPr>
                <w:sz w:val="20"/>
                <w:szCs w:val="20"/>
              </w:rPr>
            </w:pPr>
            <w:r>
              <w:rPr>
                <w:sz w:val="20"/>
                <w:szCs w:val="20"/>
              </w:rPr>
              <w:t xml:space="preserve">100% de los riesgos evaluados integrados al sistema de gestión de riesgos con un plan de mitigación documentado según COSO II.</w:t>
            </w:r>
          </w:p>
        </w:tc>
      </w:tr>
    </w:tbl>
    <w:p>
      <w:pPr>
        <w:pStyle w:val="Fuente"/>
      </w:pPr>
      <w:r>
        <w:t xml:space="preserve">Fuente: Elaboración propia.</w:t>
      </w:r>
    </w:p>
    <w:p>
      <w:r>
        <w:t xml:space="preserve">La evidencia que respalda la línea base declarada para MP8 se expone en el apartado 3.2.1, donde se detalla la documentación existente al inicio del trabajo y aquello que se verificó como no formalizado. La verificación equivalente para MP21 queda pendiente hasta el inicio de su levantamiento.</w:t>
      </w:r>
    </w:p>
    <w:p>
      <w:pPr>
        <w:pStyle w:val="Heading2"/>
      </w:pPr>
      <w:r>
        <w:t xml:space="preserve">2.5. INSTRUMENTOS Y TÉCNICAS DE RECOLECCIÓN DE DATOS</w:t>
      </w:r>
    </w:p>
    <w:p>
      <w:r>
        <w:t xml:space="preserve">La recolección de datos se apoya en las siguientes técnicas:</w:t>
      </w:r>
    </w:p>
    <w:p>
      <w:pPr>
        <w:pStyle w:val="Vineta"/>
      </w:pPr>
      <w:r>
        <w:t xml:space="preserve">-  Revisión documental de los antecedentes internos de Arauco sobre MP8 y MP21, con una pauta de registro que consigna el documento, su estado de vigencia, el nivel jerárquico que cubre y las brechas detectadas.</w:t>
      </w:r>
    </w:p>
    <w:p>
      <w:pPr>
        <w:pStyle w:val="Vineta"/>
      </w:pPr>
      <w:r>
        <w:t xml:space="preserve">-  Entrevistas semiestructuradas con los dueños de proceso a nivel corporativo, orientadas a levantar los procesos, subprocesos, actividades y tareas, sus responsables, sus entradas y salidas y sus sistemas de apoyo.</w:t>
      </w:r>
    </w:p>
    <w:p>
      <w:pPr>
        <w:pStyle w:val="Vineta"/>
      </w:pPr>
      <w:r>
        <w:t xml:space="preserve">-  Sesiones de trabajo de modelamiento, en las que se construye y contrasta de forma iterativa la arquitectura de procesos con los participantes.</w:t>
      </w:r>
    </w:p>
    <w:p>
      <w:pPr>
        <w:pStyle w:val="Vineta"/>
      </w:pPr>
      <w:r>
        <w:t xml:space="preserve">-  Talleres de análisis de riesgo, en los que se identifican los eventos de riesgo por tarea y se valoran su probabilidad, su impacto, sus controles y su riesgo residual conforme a COSO II.</w:t>
      </w:r>
    </w:p>
    <w:p>
      <w:pPr>
        <w:pStyle w:val="Vineta"/>
      </w:pPr>
      <w:r>
        <w:t xml:space="preserve">-  Contraste con el Process Classification Framework de APQC v8.0, utilizado como referencia de clasificación para detectar procesos esperados y no documentados.</w:t>
      </w:r>
    </w:p>
    <w:p>
      <w:r>
        <w:t xml:space="preserve">Las pautas que operacionalizan estas técnicas se documentarán en el Anexo D. Los medios materiales, los accesos y los recursos metodológicos que sustentan su aplicación se detallan en el Anexo C.</w:t>
      </w:r>
    </w:p>
    <w:p>
      <w:r>
        <w:t xml:space="preserve">Las pautas de registro documental, entrevista semiestructurada y taller de análisis de riesgos, junto con sus escalas de probabilidad e impacto, se incorporarán al Anexo D en la versión del informe correspondiente al cierre del levantamiento metodológico.</w:t>
      </w:r>
    </w:p>
    <w:p>
      <w:pPr>
        <w:pStyle w:val="Heading2"/>
      </w:pPr>
      <w:r>
        <w:t xml:space="preserve">2.6. ANÁLISIS DE LOS DATOS</w:t>
      </w:r>
    </w:p>
    <w:p>
      <w:r>
        <w:t xml:space="preserve">La información levantada se analiza de forma descriptiva. La arquitectura de procesos se sistematiza en fichas por nivel jerárquico y se representa mediante diagramas de flujo y matrices RACI, lo que permite verificar la consistencia entre niveles y la completitud de la cadena que va desde el macroproceso hasta la tarea. Los riesgos se consolidan en una matriz estructurada por macroproceso, proceso, subproceso, actividad y tarea, sobre la cual se calculan las distribuciones de riesgo inherente y residual por categoría y por proceso.</w:t>
      </w:r>
    </w:p>
    <w:p>
      <w:r>
        <w:t xml:space="preserve">El grado de cumplimiento de los objetivos se determina mediante el cálculo de los indicadores CAP, TCER y CRPM, comparando el valor obtenido con la línea base y con el estado final esperado declarado en la Tabla 2. Los resultados se discuten en relación con la literatura revisada en el apartado 1.4.</w:t>
      </w:r>
    </w:p>
    <w:p>
      <w:pPr>
        <w:pStyle w:val="Heading2"/>
      </w:pPr>
      <w:r>
        <w:t xml:space="preserve">2.7. CONSIDERACIONES ÉTICAS Y DE CONFIDENCIALIDAD</w:t>
      </w:r>
    </w:p>
    <w:p>
      <w:r>
        <w:t xml:space="preserve">La totalidad de los datos, procesos, riesgos y entregables generados en el marco de este trabajo son tratados con carácter confidencial, de conformidad con los acuerdos establecidos entre el investigador y Celulosa Arauco y Constitución S.A. El informe final es marcado como reservado y su circulación queda restringida a los miembros de la Comisión Evaluadora del Magíster y a la Dirección Académica de Postgrado de la Universidad de La Frontera.</w:t>
      </w:r>
    </w:p>
    <w:p>
      <w:r>
        <w:t xml:space="preserve">La participación de los dueños de proceso, jefaturas y especialistas es voluntaria y se realiza en el marco de sus funciones, con conocimiento del propósito académico del levantamiento. La información sensible de la compañía que no resulta indispensable para sustentar los resultados se presenta de forma agregada o anonimizada en el cuerpo del informe, y el detalle se reserva a los anexos de circulación restringida.</w:t>
      </w:r>
    </w:p>
    <w:p>
      <w:r>
        <w:t xml:space="preserve">La carta de compromiso mediante la cual la compañía respalda el acceso a la información y la participación de los dueños de proceso se documentará en el Anexo E.</w:t>
      </w:r>
    </w:p>
    <w:p>
      <w:r>
        <w:t xml:space="preserve">La formalización del mecanismo de consentimiento o autorización de los participantes se encuentra en proceso de coordinación con Arauco y el Profesor Guía; la carta de compromiso se incorporará al Anexo E una vez concluido ese proceso.</w:t>
      </w:r>
    </w:p>
    <w:p>
      <w:pPr>
        <w:pStyle w:val="Heading1"/>
      </w:pPr>
      <w:r>
        <w:t xml:space="preserve">CAPÍTULO 3 RESULTADOS Y DISCUSIÓN</w:t>
      </w:r>
    </w:p>
    <w:p>
      <w:r>
        <w:t xml:space="preserve">Este capítulo presenta los resultados obtenidos hasta la fecha de emisión del presente informe y su discusión. Dado que el documento corresponde a la primera versión del informe y se emite con motivo de la primera presentación de avance, en la semana 5 del plan de trabajo, los resultados son parciales y se concentran en el objetivo específico 1, referido al modelamiento de la arquitectura de procesos. Los apartados correspondientes a los objetivos específicos 2 y 3 quedan estructurados para su desarrollo en los hitos siguientes.</w:t>
      </w:r>
    </w:p>
    <w:p>
      <w:pPr>
        <w:pStyle w:val="Heading2"/>
      </w:pPr>
      <w:r>
        <w:t xml:space="preserve">3.1. ESTADO GENERAL DE AVANCE</w:t>
      </w:r>
    </w:p>
    <w:p>
      <w:r>
        <w:t xml:space="preserve">La Tabla 3 presenta el estado de avance de las actividades definidas en el plan de trabajo, cuyo detalle se incluye en el Anexo A y cuya programación replanificada se representa en la carta Gantt del Anexo B.</w:t>
      </w:r>
    </w:p>
    <w:p>
      <w:pPr>
        <w:pStyle w:val="Caption"/>
        <w:keepNext/>
      </w:pPr>
      <w:r>
        <w:rPr>
          <w:b/>
        </w:rPr>
        <w:t xml:space="preserve">Tabla </w:t>
      </w:r>
      <w:fldSimple w:dirty="true" w:instr=" SEQ Tabla \* ARABIC ">
        <w:r>
          <w:t xml:space="preserve">1</w:t>
        </w:r>
      </w:fldSimple>
      <w:r>
        <w:rPr>
          <w:b/>
        </w:rPr>
        <w:t xml:space="preserve">. </w:t>
      </w:r>
      <w:r>
        <w:t xml:space="preserve">Estado de avance de las actividades del plan de trabajo.</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900"/>
        <w:gridCol w:w="3000"/>
        <w:gridCol w:w="900"/>
        <w:gridCol w:w="1200"/>
        <w:gridCol w:w="3120"/>
      </w:tblGrid>
      <w:tr>
        <w:trPr>
          <w:tblHeader/>
        </w:trPr>
        <w:tc>
          <w:tcPr>
            <w:tcW w:w="900" w:type="dxa"/>
            <w:shd w:val="clear" w:color="auto" w:fill="D9D9D9"/>
            <w:vAlign w:val="center"/>
          </w:tcPr>
          <w:p>
            <w:pPr>
              <w:spacing w:before="20" w:after="20" w:line="240" w:lineRule="auto"/>
              <w:jc w:val="center"/>
              <w:rPr>
                <w:sz w:val="18"/>
                <w:szCs w:val="18"/>
              </w:rPr>
            </w:pPr>
            <w:r>
              <w:rPr>
                <w:b/>
                <w:sz w:val="18"/>
                <w:szCs w:val="18"/>
              </w:rPr>
              <w:t xml:space="preserve">Código</w:t>
            </w:r>
          </w:p>
        </w:tc>
        <w:tc>
          <w:tcPr>
            <w:tcW w:w="3000" w:type="dxa"/>
            <w:shd w:val="clear" w:color="auto" w:fill="D9D9D9"/>
            <w:vAlign w:val="center"/>
          </w:tcPr>
          <w:p>
            <w:pPr>
              <w:spacing w:before="20" w:after="20" w:line="240" w:lineRule="auto"/>
              <w:jc w:val="center"/>
              <w:rPr>
                <w:sz w:val="18"/>
                <w:szCs w:val="18"/>
              </w:rPr>
            </w:pPr>
            <w:r>
              <w:rPr>
                <w:b/>
                <w:sz w:val="18"/>
                <w:szCs w:val="18"/>
              </w:rPr>
              <w:t xml:space="preserve">Actividad</w:t>
            </w:r>
          </w:p>
        </w:tc>
        <w:tc>
          <w:tcPr>
            <w:tcW w:w="900" w:type="dxa"/>
            <w:shd w:val="clear" w:color="auto" w:fill="D9D9D9"/>
            <w:vAlign w:val="center"/>
          </w:tcPr>
          <w:p>
            <w:pPr>
              <w:spacing w:before="20" w:after="20" w:line="240" w:lineRule="auto"/>
              <w:jc w:val="center"/>
              <w:rPr>
                <w:sz w:val="18"/>
                <w:szCs w:val="18"/>
              </w:rPr>
            </w:pPr>
            <w:r>
              <w:rPr>
                <w:b/>
                <w:sz w:val="18"/>
                <w:szCs w:val="18"/>
              </w:rPr>
              <w:t xml:space="preserve">Semanas</w:t>
            </w:r>
          </w:p>
        </w:tc>
        <w:tc>
          <w:tcPr>
            <w:tcW w:w="1200" w:type="dxa"/>
            <w:shd w:val="clear" w:color="auto" w:fill="D9D9D9"/>
            <w:vAlign w:val="center"/>
          </w:tcPr>
          <w:p>
            <w:pPr>
              <w:spacing w:before="20" w:after="20" w:line="240" w:lineRule="auto"/>
              <w:jc w:val="center"/>
              <w:rPr>
                <w:sz w:val="18"/>
                <w:szCs w:val="18"/>
              </w:rPr>
            </w:pPr>
            <w:r>
              <w:rPr>
                <w:b/>
                <w:sz w:val="18"/>
                <w:szCs w:val="18"/>
              </w:rPr>
              <w:t xml:space="preserve">Estado</w:t>
            </w:r>
          </w:p>
        </w:tc>
        <w:tc>
          <w:tcPr>
            <w:tcW w:w="3120" w:type="dxa"/>
            <w:shd w:val="clear" w:color="auto" w:fill="D9D9D9"/>
            <w:vAlign w:val="center"/>
          </w:tcPr>
          <w:p>
            <w:pPr>
              <w:spacing w:before="20" w:after="20" w:line="240" w:lineRule="auto"/>
              <w:jc w:val="center"/>
              <w:rPr>
                <w:sz w:val="18"/>
                <w:szCs w:val="18"/>
              </w:rPr>
            </w:pPr>
            <w:r>
              <w:rPr>
                <w:b/>
                <w:sz w:val="18"/>
                <w:szCs w:val="18"/>
              </w:rPr>
              <w:t xml:space="preserve">Evidencia</w:t>
            </w:r>
          </w:p>
        </w:tc>
      </w:tr>
      <w:tr>
        <w:tc>
          <w:tcPr>
            <w:tcW w:w="900" w:type="dxa"/>
            <w:vAlign w:val="center"/>
          </w:tcPr>
          <w:p>
            <w:pPr>
              <w:spacing w:before="20" w:after="20" w:line="240" w:lineRule="auto"/>
              <w:jc w:val="center"/>
              <w:rPr>
                <w:sz w:val="18"/>
                <w:szCs w:val="18"/>
              </w:rPr>
            </w:pPr>
            <w:r>
              <w:rPr>
                <w:sz w:val="18"/>
                <w:szCs w:val="18"/>
              </w:rPr>
              <w:t xml:space="preserve">A1.1</w:t>
            </w:r>
          </w:p>
        </w:tc>
        <w:tc>
          <w:tcPr>
            <w:tcW w:w="3000" w:type="dxa"/>
            <w:vAlign w:val="center"/>
          </w:tcPr>
          <w:p>
            <w:pPr>
              <w:spacing w:before="20" w:after="20" w:line="240" w:lineRule="auto"/>
              <w:jc w:val="left"/>
              <w:rPr>
                <w:sz w:val="18"/>
                <w:szCs w:val="18"/>
              </w:rPr>
            </w:pPr>
            <w:r>
              <w:rPr>
                <w:sz w:val="18"/>
                <w:szCs w:val="18"/>
              </w:rPr>
              <w:t xml:space="preserve">Revisión documental y diagnóstico preliminar de MP8 y MP21</w:t>
            </w:r>
          </w:p>
        </w:tc>
        <w:tc>
          <w:tcPr>
            <w:tcW w:w="900" w:type="dxa"/>
            <w:vAlign w:val="center"/>
          </w:tcPr>
          <w:p>
            <w:pPr>
              <w:spacing w:before="20" w:after="20" w:line="240" w:lineRule="auto"/>
              <w:jc w:val="center"/>
              <w:rPr>
                <w:sz w:val="18"/>
                <w:szCs w:val="18"/>
              </w:rPr>
            </w:pPr>
            <w:r>
              <w:rPr>
                <w:sz w:val="18"/>
                <w:szCs w:val="18"/>
              </w:rPr>
              <w:t xml:space="preserve">S1 a S2</w:t>
            </w:r>
          </w:p>
        </w:tc>
        <w:tc>
          <w:tcPr>
            <w:tcW w:w="1200" w:type="dxa"/>
            <w:vAlign w:val="center"/>
          </w:tcPr>
          <w:p>
            <w:pPr>
              <w:spacing w:before="20" w:after="20" w:line="240" w:lineRule="auto"/>
              <w:jc w:val="left"/>
              <w:rPr>
                <w:sz w:val="18"/>
                <w:szCs w:val="18"/>
              </w:rPr>
            </w:pPr>
            <w:r>
              <w:rPr>
                <w:sz w:val="18"/>
                <w:szCs w:val="18"/>
              </w:rPr>
              <w:t xml:space="preserve">Completada</w:t>
            </w:r>
          </w:p>
        </w:tc>
        <w:tc>
          <w:tcPr>
            <w:tcW w:w="3120" w:type="dxa"/>
            <w:vAlign w:val="center"/>
          </w:tcPr>
          <w:p>
            <w:pPr>
              <w:spacing w:before="20" w:after="20" w:line="240" w:lineRule="auto"/>
              <w:jc w:val="left"/>
              <w:rPr>
                <w:sz w:val="18"/>
                <w:szCs w:val="18"/>
              </w:rPr>
            </w:pPr>
            <w:r>
              <w:rPr>
                <w:sz w:val="18"/>
                <w:szCs w:val="18"/>
              </w:rPr>
              <w:t xml:space="preserve">Inventario de fuentes documentales y matriz de trazabilidad</w:t>
            </w:r>
          </w:p>
        </w:tc>
      </w:tr>
      <w:tr>
        <w:tc>
          <w:tcPr>
            <w:tcW w:w="900" w:type="dxa"/>
            <w:vAlign w:val="center"/>
          </w:tcPr>
          <w:p>
            <w:pPr>
              <w:spacing w:before="20" w:after="20" w:line="240" w:lineRule="auto"/>
              <w:jc w:val="center"/>
              <w:rPr>
                <w:sz w:val="18"/>
                <w:szCs w:val="18"/>
              </w:rPr>
            </w:pPr>
            <w:r>
              <w:rPr>
                <w:sz w:val="18"/>
                <w:szCs w:val="18"/>
              </w:rPr>
              <w:t xml:space="preserve">A1.2</w:t>
            </w:r>
          </w:p>
        </w:tc>
        <w:tc>
          <w:tcPr>
            <w:tcW w:w="3000" w:type="dxa"/>
            <w:vAlign w:val="center"/>
          </w:tcPr>
          <w:p>
            <w:pPr>
              <w:spacing w:before="20" w:after="20" w:line="240" w:lineRule="auto"/>
              <w:jc w:val="left"/>
              <w:rPr>
                <w:sz w:val="18"/>
                <w:szCs w:val="18"/>
              </w:rPr>
            </w:pPr>
            <w:r>
              <w:rPr>
                <w:sz w:val="18"/>
                <w:szCs w:val="18"/>
              </w:rPr>
              <w:t xml:space="preserve">Entrevistas con los dueños de proceso a nivel corporativo</w:t>
            </w:r>
          </w:p>
        </w:tc>
        <w:tc>
          <w:tcPr>
            <w:tcW w:w="900" w:type="dxa"/>
            <w:vAlign w:val="center"/>
          </w:tcPr>
          <w:p>
            <w:pPr>
              <w:spacing w:before="20" w:after="20" w:line="240" w:lineRule="auto"/>
              <w:jc w:val="center"/>
              <w:rPr>
                <w:sz w:val="18"/>
                <w:szCs w:val="18"/>
              </w:rPr>
            </w:pPr>
            <w:r>
              <w:rPr>
                <w:sz w:val="18"/>
                <w:szCs w:val="18"/>
              </w:rPr>
              <w:t xml:space="preserve">S2 a S4</w:t>
            </w:r>
          </w:p>
        </w:tc>
        <w:tc>
          <w:tcPr>
            <w:tcW w:w="1200" w:type="dxa"/>
            <w:vAlign w:val="center"/>
          </w:tcPr>
          <w:p>
            <w:pPr>
              <w:spacing w:before="20" w:after="20" w:line="240" w:lineRule="auto"/>
              <w:jc w:val="left"/>
              <w:rPr>
                <w:sz w:val="18"/>
                <w:szCs w:val="18"/>
              </w:rPr>
            </w:pPr>
            <w:r>
              <w:rPr>
                <w:sz w:val="18"/>
                <w:szCs w:val="18"/>
              </w:rPr>
              <w:t xml:space="preserve">Completada</w:t>
            </w:r>
          </w:p>
        </w:tc>
        <w:tc>
          <w:tcPr>
            <w:tcW w:w="3120" w:type="dxa"/>
            <w:vAlign w:val="center"/>
          </w:tcPr>
          <w:p>
            <w:pPr>
              <w:spacing w:before="20" w:after="20" w:line="240" w:lineRule="auto"/>
              <w:jc w:val="left"/>
              <w:rPr>
                <w:sz w:val="18"/>
                <w:szCs w:val="18"/>
              </w:rPr>
            </w:pPr>
            <w:r>
              <w:rPr>
                <w:sz w:val="18"/>
                <w:szCs w:val="18"/>
              </w:rPr>
              <w:t xml:space="preserve">Registros de entrevista de tres áreas funcionales de MP8</w:t>
            </w:r>
          </w:p>
        </w:tc>
      </w:tr>
      <w:tr>
        <w:tc>
          <w:tcPr>
            <w:tcW w:w="900" w:type="dxa"/>
            <w:vAlign w:val="center"/>
          </w:tcPr>
          <w:p>
            <w:pPr>
              <w:spacing w:before="20" w:after="20" w:line="240" w:lineRule="auto"/>
              <w:jc w:val="center"/>
              <w:rPr>
                <w:sz w:val="18"/>
                <w:szCs w:val="18"/>
              </w:rPr>
            </w:pPr>
            <w:r>
              <w:rPr>
                <w:sz w:val="18"/>
                <w:szCs w:val="18"/>
              </w:rPr>
              <w:t xml:space="preserve">A1.3.1</w:t>
            </w:r>
          </w:p>
        </w:tc>
        <w:tc>
          <w:tcPr>
            <w:tcW w:w="3000" w:type="dxa"/>
            <w:vAlign w:val="center"/>
          </w:tcPr>
          <w:p>
            <w:pPr>
              <w:spacing w:before="20" w:after="20" w:line="240" w:lineRule="auto"/>
              <w:jc w:val="left"/>
              <w:rPr>
                <w:sz w:val="18"/>
                <w:szCs w:val="18"/>
              </w:rPr>
            </w:pPr>
            <w:r>
              <w:rPr>
                <w:sz w:val="18"/>
                <w:szCs w:val="18"/>
              </w:rPr>
              <w:t xml:space="preserve">Levantamiento y diagramación del flujo único de MP8</w:t>
            </w:r>
          </w:p>
        </w:tc>
        <w:tc>
          <w:tcPr>
            <w:tcW w:w="900" w:type="dxa"/>
            <w:vAlign w:val="center"/>
          </w:tcPr>
          <w:p>
            <w:pPr>
              <w:spacing w:before="20" w:after="20" w:line="240" w:lineRule="auto"/>
              <w:jc w:val="center"/>
              <w:rPr>
                <w:sz w:val="18"/>
                <w:szCs w:val="18"/>
              </w:rPr>
            </w:pPr>
            <w:r>
              <w:rPr>
                <w:sz w:val="18"/>
                <w:szCs w:val="18"/>
              </w:rPr>
              <w:t xml:space="preserve">S3 a S5</w:t>
            </w:r>
          </w:p>
        </w:tc>
        <w:tc>
          <w:tcPr>
            <w:tcW w:w="1200" w:type="dxa"/>
            <w:vAlign w:val="center"/>
          </w:tcPr>
          <w:p>
            <w:pPr>
              <w:spacing w:before="20" w:after="20" w:line="240" w:lineRule="auto"/>
              <w:jc w:val="left"/>
              <w:rPr>
                <w:sz w:val="18"/>
                <w:szCs w:val="18"/>
              </w:rPr>
            </w:pPr>
            <w:r>
              <w:rPr>
                <w:sz w:val="18"/>
                <w:szCs w:val="18"/>
              </w:rPr>
              <w:t xml:space="preserve">Completada</w:t>
            </w:r>
          </w:p>
        </w:tc>
        <w:tc>
          <w:tcPr>
            <w:tcW w:w="3120" w:type="dxa"/>
            <w:vAlign w:val="center"/>
          </w:tcPr>
          <w:p>
            <w:pPr>
              <w:spacing w:before="20" w:after="20" w:line="240" w:lineRule="auto"/>
              <w:jc w:val="left"/>
              <w:rPr>
                <w:sz w:val="18"/>
                <w:szCs w:val="18"/>
              </w:rPr>
            </w:pPr>
            <w:r>
              <w:rPr>
                <w:sz w:val="18"/>
                <w:szCs w:val="18"/>
              </w:rPr>
              <w:t xml:space="preserve">Flujo único de MP8, versión 3, con 261 elementos y 318 conexiones</w:t>
            </w:r>
          </w:p>
        </w:tc>
      </w:tr>
      <w:tr>
        <w:tc>
          <w:tcPr>
            <w:tcW w:w="900" w:type="dxa"/>
            <w:vAlign w:val="center"/>
          </w:tcPr>
          <w:p>
            <w:pPr>
              <w:spacing w:before="20" w:after="20" w:line="240" w:lineRule="auto"/>
              <w:jc w:val="center"/>
              <w:rPr>
                <w:sz w:val="18"/>
                <w:szCs w:val="18"/>
              </w:rPr>
            </w:pPr>
            <w:r>
              <w:rPr>
                <w:sz w:val="18"/>
                <w:szCs w:val="18"/>
              </w:rPr>
              <w:t xml:space="preserve">A1.3.2</w:t>
            </w:r>
          </w:p>
        </w:tc>
        <w:tc>
          <w:tcPr>
            <w:tcW w:w="3000" w:type="dxa"/>
            <w:vAlign w:val="center"/>
          </w:tcPr>
          <w:p>
            <w:pPr>
              <w:spacing w:before="20" w:after="20" w:line="240" w:lineRule="auto"/>
              <w:jc w:val="left"/>
              <w:rPr>
                <w:sz w:val="18"/>
                <w:szCs w:val="18"/>
              </w:rPr>
            </w:pPr>
            <w:r>
              <w:rPr>
                <w:sz w:val="18"/>
                <w:szCs w:val="18"/>
              </w:rPr>
              <w:t xml:space="preserve">Segmentación jerárquica de MP8 en cinco niveles</w:t>
            </w:r>
          </w:p>
        </w:tc>
        <w:tc>
          <w:tcPr>
            <w:tcW w:w="900" w:type="dxa"/>
            <w:vAlign w:val="center"/>
          </w:tcPr>
          <w:p>
            <w:pPr>
              <w:spacing w:before="20" w:after="20" w:line="240" w:lineRule="auto"/>
              <w:jc w:val="center"/>
              <w:rPr>
                <w:sz w:val="18"/>
                <w:szCs w:val="18"/>
              </w:rPr>
            </w:pPr>
            <w:r>
              <w:rPr>
                <w:sz w:val="18"/>
                <w:szCs w:val="18"/>
              </w:rPr>
              <w:t xml:space="preserve">S6 a S7</w:t>
            </w:r>
          </w:p>
        </w:tc>
        <w:tc>
          <w:tcPr>
            <w:tcW w:w="1200" w:type="dxa"/>
            <w:vAlign w:val="center"/>
          </w:tcPr>
          <w:p>
            <w:pPr>
              <w:spacing w:before="20" w:after="20" w:line="240" w:lineRule="auto"/>
              <w:jc w:val="left"/>
              <w:rPr>
                <w:sz w:val="18"/>
                <w:szCs w:val="18"/>
              </w:rPr>
            </w:pPr>
            <w:r>
              <w:rPr>
                <w:sz w:val="18"/>
                <w:szCs w:val="18"/>
              </w:rPr>
              <w:t xml:space="preserve">No iniciada</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A1.4.1</w:t>
            </w:r>
          </w:p>
        </w:tc>
        <w:tc>
          <w:tcPr>
            <w:tcW w:w="3000" w:type="dxa"/>
            <w:vAlign w:val="center"/>
          </w:tcPr>
          <w:p>
            <w:pPr>
              <w:spacing w:before="20" w:after="20" w:line="240" w:lineRule="auto"/>
              <w:jc w:val="left"/>
              <w:rPr>
                <w:sz w:val="18"/>
                <w:szCs w:val="18"/>
              </w:rPr>
            </w:pPr>
            <w:r>
              <w:rPr>
                <w:sz w:val="18"/>
                <w:szCs w:val="18"/>
              </w:rPr>
              <w:t xml:space="preserve">Levantamiento y diagramación del flujo único de MP21</w:t>
            </w:r>
          </w:p>
        </w:tc>
        <w:tc>
          <w:tcPr>
            <w:tcW w:w="900" w:type="dxa"/>
            <w:vAlign w:val="center"/>
          </w:tcPr>
          <w:p>
            <w:pPr>
              <w:spacing w:before="20" w:after="20" w:line="240" w:lineRule="auto"/>
              <w:jc w:val="center"/>
              <w:rPr>
                <w:sz w:val="18"/>
                <w:szCs w:val="18"/>
              </w:rPr>
            </w:pPr>
            <w:r>
              <w:rPr>
                <w:sz w:val="18"/>
                <w:szCs w:val="18"/>
              </w:rPr>
              <w:t xml:space="preserve">S6 a S9</w:t>
            </w:r>
          </w:p>
        </w:tc>
        <w:tc>
          <w:tcPr>
            <w:tcW w:w="1200" w:type="dxa"/>
            <w:vAlign w:val="center"/>
          </w:tcPr>
          <w:p>
            <w:pPr>
              <w:spacing w:before="20" w:after="20" w:line="240" w:lineRule="auto"/>
              <w:jc w:val="left"/>
              <w:rPr>
                <w:sz w:val="18"/>
                <w:szCs w:val="18"/>
              </w:rPr>
            </w:pPr>
            <w:r>
              <w:rPr>
                <w:sz w:val="18"/>
                <w:szCs w:val="18"/>
              </w:rPr>
              <w:t xml:space="preserve">No iniciada</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A1.4.2</w:t>
            </w:r>
          </w:p>
        </w:tc>
        <w:tc>
          <w:tcPr>
            <w:tcW w:w="3000" w:type="dxa"/>
            <w:vAlign w:val="center"/>
          </w:tcPr>
          <w:p>
            <w:pPr>
              <w:spacing w:before="20" w:after="20" w:line="240" w:lineRule="auto"/>
              <w:jc w:val="left"/>
              <w:rPr>
                <w:sz w:val="18"/>
                <w:szCs w:val="18"/>
              </w:rPr>
            </w:pPr>
            <w:r>
              <w:rPr>
                <w:sz w:val="18"/>
                <w:szCs w:val="18"/>
              </w:rPr>
              <w:t xml:space="preserve">Segmentación jerárquica de MP21 en cinco niveles</w:t>
            </w:r>
          </w:p>
        </w:tc>
        <w:tc>
          <w:tcPr>
            <w:tcW w:w="900" w:type="dxa"/>
            <w:vAlign w:val="center"/>
          </w:tcPr>
          <w:p>
            <w:pPr>
              <w:spacing w:before="20" w:after="20" w:line="240" w:lineRule="auto"/>
              <w:jc w:val="center"/>
              <w:rPr>
                <w:sz w:val="18"/>
                <w:szCs w:val="18"/>
              </w:rPr>
            </w:pPr>
            <w:r>
              <w:rPr>
                <w:sz w:val="18"/>
                <w:szCs w:val="18"/>
              </w:rPr>
              <w:t xml:space="preserve">S10 a S11</w:t>
            </w:r>
          </w:p>
        </w:tc>
        <w:tc>
          <w:tcPr>
            <w:tcW w:w="1200" w:type="dxa"/>
            <w:vAlign w:val="center"/>
          </w:tcPr>
          <w:p>
            <w:pPr>
              <w:spacing w:before="20" w:after="20" w:line="240" w:lineRule="auto"/>
              <w:jc w:val="left"/>
              <w:rPr>
                <w:sz w:val="18"/>
                <w:szCs w:val="18"/>
              </w:rPr>
            </w:pPr>
            <w:r>
              <w:rPr>
                <w:sz w:val="18"/>
                <w:szCs w:val="18"/>
              </w:rPr>
              <w:t xml:space="preserve">No iniciada</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A1.5</w:t>
            </w:r>
          </w:p>
        </w:tc>
        <w:tc>
          <w:tcPr>
            <w:tcW w:w="3000" w:type="dxa"/>
            <w:vAlign w:val="center"/>
          </w:tcPr>
          <w:p>
            <w:pPr>
              <w:spacing w:before="20" w:after="20" w:line="240" w:lineRule="auto"/>
              <w:jc w:val="left"/>
              <w:rPr>
                <w:sz w:val="18"/>
                <w:szCs w:val="18"/>
              </w:rPr>
            </w:pPr>
            <w:r>
              <w:rPr>
                <w:sz w:val="18"/>
                <w:szCs w:val="18"/>
              </w:rPr>
              <w:t xml:space="preserve">Consolidación de los manuales de procesos MP8 y MP21</w:t>
            </w:r>
          </w:p>
        </w:tc>
        <w:tc>
          <w:tcPr>
            <w:tcW w:w="900" w:type="dxa"/>
            <w:vAlign w:val="center"/>
          </w:tcPr>
          <w:p>
            <w:pPr>
              <w:spacing w:before="20" w:after="20" w:line="240" w:lineRule="auto"/>
              <w:jc w:val="center"/>
              <w:rPr>
                <w:sz w:val="18"/>
                <w:szCs w:val="18"/>
              </w:rPr>
            </w:pPr>
            <w:r>
              <w:rPr>
                <w:sz w:val="18"/>
                <w:szCs w:val="18"/>
              </w:rPr>
              <w:t xml:space="preserve">S11 a S12</w:t>
            </w:r>
          </w:p>
        </w:tc>
        <w:tc>
          <w:tcPr>
            <w:tcW w:w="1200" w:type="dxa"/>
            <w:vAlign w:val="center"/>
          </w:tcPr>
          <w:p>
            <w:pPr>
              <w:spacing w:before="20" w:after="20" w:line="240" w:lineRule="auto"/>
              <w:jc w:val="left"/>
              <w:rPr>
                <w:sz w:val="18"/>
                <w:szCs w:val="18"/>
              </w:rPr>
            </w:pPr>
            <w:r>
              <w:rPr>
                <w:sz w:val="18"/>
                <w:szCs w:val="18"/>
              </w:rPr>
              <w:t xml:space="preserve">No iniciada</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A1.6</w:t>
            </w:r>
          </w:p>
        </w:tc>
        <w:tc>
          <w:tcPr>
            <w:tcW w:w="3000" w:type="dxa"/>
            <w:vAlign w:val="center"/>
          </w:tcPr>
          <w:p>
            <w:pPr>
              <w:spacing w:before="20" w:after="20" w:line="240" w:lineRule="auto"/>
              <w:jc w:val="left"/>
              <w:rPr>
                <w:sz w:val="18"/>
                <w:szCs w:val="18"/>
              </w:rPr>
            </w:pPr>
            <w:r>
              <w:rPr>
                <w:sz w:val="18"/>
                <w:szCs w:val="18"/>
              </w:rPr>
              <w:t xml:space="preserve">Entrega y validación de los manuales de procesos</w:t>
            </w:r>
          </w:p>
        </w:tc>
        <w:tc>
          <w:tcPr>
            <w:tcW w:w="900" w:type="dxa"/>
            <w:vAlign w:val="center"/>
          </w:tcPr>
          <w:p>
            <w:pPr>
              <w:spacing w:before="20" w:after="20" w:line="240" w:lineRule="auto"/>
              <w:jc w:val="center"/>
              <w:rPr>
                <w:sz w:val="18"/>
                <w:szCs w:val="18"/>
              </w:rPr>
            </w:pPr>
            <w:r>
              <w:rPr>
                <w:sz w:val="18"/>
                <w:szCs w:val="18"/>
              </w:rPr>
              <w:t xml:space="preserve">S13</w:t>
            </w:r>
          </w:p>
        </w:tc>
        <w:tc>
          <w:tcPr>
            <w:tcW w:w="1200" w:type="dxa"/>
            <w:vAlign w:val="center"/>
          </w:tcPr>
          <w:p>
            <w:pPr>
              <w:spacing w:before="20" w:after="20" w:line="240" w:lineRule="auto"/>
              <w:jc w:val="left"/>
              <w:rPr>
                <w:sz w:val="18"/>
                <w:szCs w:val="18"/>
              </w:rPr>
            </w:pPr>
            <w:r>
              <w:rPr>
                <w:sz w:val="18"/>
                <w:szCs w:val="18"/>
              </w:rPr>
              <w:t xml:space="preserve">No iniciada</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A2.1 a A2.4</w:t>
            </w:r>
          </w:p>
        </w:tc>
        <w:tc>
          <w:tcPr>
            <w:tcW w:w="3000" w:type="dxa"/>
            <w:vAlign w:val="center"/>
          </w:tcPr>
          <w:p>
            <w:pPr>
              <w:spacing w:before="20" w:after="20" w:line="240" w:lineRule="auto"/>
              <w:jc w:val="left"/>
              <w:rPr>
                <w:sz w:val="18"/>
                <w:szCs w:val="18"/>
              </w:rPr>
            </w:pPr>
            <w:r>
              <w:rPr>
                <w:sz w:val="18"/>
                <w:szCs w:val="18"/>
              </w:rPr>
              <w:t xml:space="preserve">Actividades del objetivo específico 2</w:t>
            </w:r>
          </w:p>
        </w:tc>
        <w:tc>
          <w:tcPr>
            <w:tcW w:w="900" w:type="dxa"/>
            <w:vAlign w:val="center"/>
          </w:tcPr>
          <w:p>
            <w:pPr>
              <w:spacing w:before="20" w:after="20" w:line="240" w:lineRule="auto"/>
              <w:jc w:val="center"/>
              <w:rPr>
                <w:sz w:val="18"/>
                <w:szCs w:val="18"/>
              </w:rPr>
            </w:pPr>
            <w:r>
              <w:rPr>
                <w:sz w:val="18"/>
                <w:szCs w:val="18"/>
              </w:rPr>
              <w:t xml:space="preserve">S12 a S18</w:t>
            </w:r>
          </w:p>
        </w:tc>
        <w:tc>
          <w:tcPr>
            <w:tcW w:w="1200" w:type="dxa"/>
            <w:vAlign w:val="center"/>
          </w:tcPr>
          <w:p>
            <w:pPr>
              <w:spacing w:before="20" w:after="20" w:line="240" w:lineRule="auto"/>
              <w:jc w:val="left"/>
              <w:rPr>
                <w:sz w:val="18"/>
                <w:szCs w:val="18"/>
              </w:rPr>
            </w:pPr>
            <w:r>
              <w:rPr>
                <w:sz w:val="18"/>
                <w:szCs w:val="18"/>
              </w:rPr>
              <w:t xml:space="preserve">No iniciadas</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A3.1 a A3.4</w:t>
            </w:r>
          </w:p>
        </w:tc>
        <w:tc>
          <w:tcPr>
            <w:tcW w:w="3000" w:type="dxa"/>
            <w:vAlign w:val="center"/>
          </w:tcPr>
          <w:p>
            <w:pPr>
              <w:spacing w:before="20" w:after="20" w:line="240" w:lineRule="auto"/>
              <w:jc w:val="left"/>
              <w:rPr>
                <w:sz w:val="18"/>
                <w:szCs w:val="18"/>
              </w:rPr>
            </w:pPr>
            <w:r>
              <w:rPr>
                <w:sz w:val="18"/>
                <w:szCs w:val="18"/>
              </w:rPr>
              <w:t xml:space="preserve">Actividades del objetivo específico 3</w:t>
            </w:r>
          </w:p>
        </w:tc>
        <w:tc>
          <w:tcPr>
            <w:tcW w:w="900" w:type="dxa"/>
            <w:vAlign w:val="center"/>
          </w:tcPr>
          <w:p>
            <w:pPr>
              <w:spacing w:before="20" w:after="20" w:line="240" w:lineRule="auto"/>
              <w:jc w:val="center"/>
              <w:rPr>
                <w:sz w:val="18"/>
                <w:szCs w:val="18"/>
              </w:rPr>
            </w:pPr>
            <w:r>
              <w:rPr>
                <w:sz w:val="18"/>
                <w:szCs w:val="18"/>
              </w:rPr>
              <w:t xml:space="preserve">S17 a S20</w:t>
            </w:r>
          </w:p>
        </w:tc>
        <w:tc>
          <w:tcPr>
            <w:tcW w:w="1200" w:type="dxa"/>
            <w:vAlign w:val="center"/>
          </w:tcPr>
          <w:p>
            <w:pPr>
              <w:spacing w:before="20" w:after="20" w:line="240" w:lineRule="auto"/>
              <w:jc w:val="left"/>
              <w:rPr>
                <w:sz w:val="18"/>
                <w:szCs w:val="18"/>
              </w:rPr>
            </w:pPr>
            <w:r>
              <w:rPr>
                <w:sz w:val="18"/>
                <w:szCs w:val="18"/>
              </w:rPr>
              <w:t xml:space="preserve">No iniciadas</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A-G</w:t>
            </w:r>
          </w:p>
        </w:tc>
        <w:tc>
          <w:tcPr>
            <w:tcW w:w="3000" w:type="dxa"/>
            <w:vAlign w:val="center"/>
          </w:tcPr>
          <w:p>
            <w:pPr>
              <w:spacing w:before="20" w:after="20" w:line="240" w:lineRule="auto"/>
              <w:jc w:val="left"/>
              <w:rPr>
                <w:sz w:val="18"/>
                <w:szCs w:val="18"/>
              </w:rPr>
            </w:pPr>
            <w:r>
              <w:rPr>
                <w:sz w:val="18"/>
                <w:szCs w:val="18"/>
              </w:rPr>
              <w:t xml:space="preserve">Documentación y redacción del Trabajo Final de Grado</w:t>
            </w:r>
          </w:p>
        </w:tc>
        <w:tc>
          <w:tcPr>
            <w:tcW w:w="900" w:type="dxa"/>
            <w:vAlign w:val="center"/>
          </w:tcPr>
          <w:p>
            <w:pPr>
              <w:spacing w:before="20" w:after="20" w:line="240" w:lineRule="auto"/>
              <w:jc w:val="center"/>
              <w:rPr>
                <w:sz w:val="18"/>
                <w:szCs w:val="18"/>
              </w:rPr>
            </w:pPr>
            <w:r>
              <w:rPr>
                <w:sz w:val="18"/>
                <w:szCs w:val="18"/>
              </w:rPr>
              <w:t xml:space="preserve">S1 a S20</w:t>
            </w:r>
          </w:p>
        </w:tc>
        <w:tc>
          <w:tcPr>
            <w:tcW w:w="1200" w:type="dxa"/>
            <w:vAlign w:val="center"/>
          </w:tcPr>
          <w:p>
            <w:pPr>
              <w:spacing w:before="20" w:after="20" w:line="240" w:lineRule="auto"/>
              <w:jc w:val="left"/>
              <w:rPr>
                <w:sz w:val="18"/>
                <w:szCs w:val="18"/>
              </w:rPr>
            </w:pPr>
            <w:r>
              <w:rPr>
                <w:sz w:val="18"/>
                <w:szCs w:val="18"/>
              </w:rPr>
              <w:t xml:space="preserve">En ejecución</w:t>
            </w:r>
          </w:p>
        </w:tc>
        <w:tc>
          <w:tcPr>
            <w:tcW w:w="3120" w:type="dxa"/>
            <w:vAlign w:val="center"/>
          </w:tcPr>
          <w:p>
            <w:pPr>
              <w:spacing w:before="20" w:after="20" w:line="240" w:lineRule="auto"/>
              <w:jc w:val="left"/>
              <w:rPr>
                <w:sz w:val="18"/>
                <w:szCs w:val="18"/>
              </w:rPr>
            </w:pPr>
            <w:r>
              <w:rPr>
                <w:sz w:val="18"/>
                <w:szCs w:val="18"/>
              </w:rPr>
              <w:t xml:space="preserve">Presente informe</w:t>
            </w:r>
          </w:p>
        </w:tc>
      </w:tr>
    </w:tbl>
    <w:p>
      <w:pPr>
        <w:pStyle w:val="Fuente"/>
      </w:pPr>
      <w:r>
        <w:t xml:space="preserve">Fuente: Elaboración propia.</w:t>
      </w:r>
    </w:p>
    <w:p>
      <w:pPr>
        <w:pStyle w:val="Heading2"/>
      </w:pPr>
      <w:r>
        <w:t xml:space="preserve">3.2. RESULTADOS DEL OBJETIVO ESPECÍFICO 1</w:t>
      </w:r>
    </w:p>
    <w:p>
      <w:r>
        <w:t xml:space="preserve">El objetivo específico 1 consiste en modelar la arquitectura de procesos de MP8 y MP21, desde sus procesos hasta sus tareas, según el marco del Modelo de Gestión Operacional. Conforme a la secuencia metodológica expuesta en el apartado 2.3.1, el modelamiento se ejecuta en dos etapas por macroproceso. A la fecha se ha completado la primera etapa para MP8, consistente en el levantamiento y diagramación de su flujo único de información, y no se ha iniciado el levantamiento de MP21.</w:t>
      </w:r>
    </w:p>
    <w:p>
      <w:pPr>
        <w:pStyle w:val="Heading3"/>
      </w:pPr>
      <w:r>
        <w:t xml:space="preserve">3.2.1. Diagnóstico documental preliminar</w:t>
      </w:r>
    </w:p>
    <w:p>
      <w:r>
        <w:t xml:space="preserve">La revisión documental tuvo por finalidad establecer el grado de formalización existente de MP8 antes del modelamiento, y constituye la evidencia de la línea base declarada en la Tabla 2. El análisis contrastó la documentación interna disponible con los procesos que el Process Classification Framework de APQC v8.0 identifica como esperables en un macroproceso de gestión de personas, correspondientes a su categoría 7, Develop and Manage Human Resources.</w:t>
      </w:r>
    </w:p>
    <w:p>
      <w:r>
        <w:t xml:space="preserve">El diagnóstico confirmó la línea base declarada en el anteproyecto. La documentación existente cubre tres de las áreas funcionales del macroproceso mediante procedimientos vigentes, referidos a atracción y selección, gestión del desempeño y formación, pero se encuentra organizada por área funcional y no por proceso. No se identificó ninguna arquitectura de procesos formalizada bajo el Modelo de Gestión Operacional, ni una representación de la secuencia de entregas de información entre las áreas, ni una desagregación jerárquica en los cinco niveles que el modelo establece. Las fuentes que sustentan el levantamiento se resumen en la Tabla 4.</w:t>
      </w:r>
    </w:p>
    <w:p>
      <w:pPr>
        <w:pStyle w:val="Caption"/>
        <w:keepNext/>
      </w:pPr>
      <w:r>
        <w:rPr>
          <w:b/>
        </w:rPr>
        <w:t xml:space="preserve">Tabla </w:t>
      </w:r>
      <w:fldSimple w:dirty="true" w:instr=" SEQ Tabla \* ARABIC ">
        <w:r>
          <w:t xml:space="preserve">1</w:t>
        </w:r>
      </w:fldSimple>
      <w:r>
        <w:rPr>
          <w:b/>
        </w:rPr>
        <w:t xml:space="preserve">. </w:t>
      </w:r>
      <w:r>
        <w:t xml:space="preserve">Fuentes que sustentan el levantamiento de MP8.</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2000"/>
        <w:gridCol w:w="5320"/>
        <w:gridCol w:w="1800"/>
      </w:tblGrid>
      <w:tr>
        <w:trPr>
          <w:tblHeader/>
        </w:trPr>
        <w:tc>
          <w:tcPr>
            <w:tcW w:w="2000" w:type="dxa"/>
            <w:shd w:val="clear" w:color="auto" w:fill="D9D9D9"/>
            <w:vAlign w:val="center"/>
          </w:tcPr>
          <w:p>
            <w:pPr>
              <w:spacing w:before="20" w:after="20" w:line="240" w:lineRule="auto"/>
              <w:jc w:val="center"/>
              <w:rPr>
                <w:sz w:val="18"/>
                <w:szCs w:val="18"/>
              </w:rPr>
            </w:pPr>
            <w:r>
              <w:rPr>
                <w:b/>
                <w:sz w:val="18"/>
                <w:szCs w:val="18"/>
              </w:rPr>
              <w:t xml:space="preserve">Tipo de fuente</w:t>
            </w:r>
          </w:p>
        </w:tc>
        <w:tc>
          <w:tcPr>
            <w:tcW w:w="5320" w:type="dxa"/>
            <w:shd w:val="clear" w:color="auto" w:fill="D9D9D9"/>
            <w:vAlign w:val="center"/>
          </w:tcPr>
          <w:p>
            <w:pPr>
              <w:spacing w:before="20" w:after="20" w:line="240" w:lineRule="auto"/>
              <w:jc w:val="center"/>
              <w:rPr>
                <w:sz w:val="18"/>
                <w:szCs w:val="18"/>
              </w:rPr>
            </w:pPr>
            <w:r>
              <w:rPr>
                <w:b/>
                <w:sz w:val="18"/>
                <w:szCs w:val="18"/>
              </w:rPr>
              <w:t xml:space="preserve">Descripción</w:t>
            </w:r>
          </w:p>
        </w:tc>
        <w:tc>
          <w:tcPr>
            <w:tcW w:w="1800" w:type="dxa"/>
            <w:shd w:val="clear" w:color="auto" w:fill="D9D9D9"/>
            <w:vAlign w:val="center"/>
          </w:tcPr>
          <w:p>
            <w:pPr>
              <w:spacing w:before="20" w:after="20" w:line="240" w:lineRule="auto"/>
              <w:jc w:val="center"/>
              <w:rPr>
                <w:sz w:val="18"/>
                <w:szCs w:val="18"/>
              </w:rPr>
            </w:pPr>
            <w:r>
              <w:rPr>
                <w:b/>
                <w:sz w:val="18"/>
                <w:szCs w:val="18"/>
              </w:rPr>
              <w:t xml:space="preserve">Elementos sustentados</w:t>
            </w:r>
          </w:p>
        </w:tc>
      </w:tr>
      <w:tr>
        <w:tc>
          <w:tcPr>
            <w:tcW w:w="2000" w:type="dxa"/>
            <w:vAlign w:val="center"/>
          </w:tcPr>
          <w:p>
            <w:pPr>
              <w:spacing w:before="20" w:after="20" w:line="240" w:lineRule="auto"/>
              <w:jc w:val="left"/>
              <w:rPr>
                <w:sz w:val="18"/>
                <w:szCs w:val="18"/>
              </w:rPr>
            </w:pPr>
            <w:r>
              <w:rPr>
                <w:sz w:val="18"/>
                <w:szCs w:val="18"/>
              </w:rPr>
              <w:t xml:space="preserve">Procedimiento vigente</w:t>
            </w:r>
          </w:p>
        </w:tc>
        <w:tc>
          <w:tcPr>
            <w:tcW w:w="5320" w:type="dxa"/>
            <w:vAlign w:val="center"/>
          </w:tcPr>
          <w:p>
            <w:pPr>
              <w:spacing w:before="20" w:after="20" w:line="240" w:lineRule="auto"/>
              <w:jc w:val="left"/>
              <w:rPr>
                <w:sz w:val="18"/>
                <w:szCs w:val="18"/>
              </w:rPr>
            </w:pPr>
            <w:r>
              <w:rPr>
                <w:sz w:val="18"/>
                <w:szCs w:val="18"/>
              </w:rPr>
              <w:t xml:space="preserve">Procedimientos formalizados de atracción y selección, gestión del desempeño y formación</w:t>
            </w:r>
          </w:p>
        </w:tc>
        <w:tc>
          <w:tcPr>
            <w:tcW w:w="1800" w:type="dxa"/>
            <w:vAlign w:val="center"/>
          </w:tcPr>
          <w:p>
            <w:pPr>
              <w:spacing w:before="20" w:after="20" w:line="240" w:lineRule="auto"/>
              <w:jc w:val="center"/>
              <w:rPr>
                <w:sz w:val="18"/>
                <w:szCs w:val="18"/>
              </w:rPr>
            </w:pPr>
            <w:r>
              <w:rPr>
                <w:sz w:val="18"/>
                <w:szCs w:val="18"/>
              </w:rPr>
              <w:t xml:space="preserve">94</w:t>
            </w:r>
          </w:p>
        </w:tc>
      </w:tr>
      <w:tr>
        <w:tc>
          <w:tcPr>
            <w:tcW w:w="2000" w:type="dxa"/>
            <w:vAlign w:val="center"/>
          </w:tcPr>
          <w:p>
            <w:pPr>
              <w:spacing w:before="20" w:after="20" w:line="240" w:lineRule="auto"/>
              <w:jc w:val="left"/>
              <w:rPr>
                <w:sz w:val="18"/>
                <w:szCs w:val="18"/>
              </w:rPr>
            </w:pPr>
            <w:r>
              <w:rPr>
                <w:sz w:val="18"/>
                <w:szCs w:val="18"/>
              </w:rPr>
              <w:t xml:space="preserve">Registro de entrevista</w:t>
            </w:r>
          </w:p>
        </w:tc>
        <w:tc>
          <w:tcPr>
            <w:tcW w:w="5320" w:type="dxa"/>
            <w:vAlign w:val="center"/>
          </w:tcPr>
          <w:p>
            <w:pPr>
              <w:spacing w:before="20" w:after="20" w:line="240" w:lineRule="auto"/>
              <w:jc w:val="left"/>
              <w:rPr>
                <w:sz w:val="18"/>
                <w:szCs w:val="18"/>
              </w:rPr>
            </w:pPr>
            <w:r>
              <w:rPr>
                <w:sz w:val="18"/>
                <w:szCs w:val="18"/>
              </w:rPr>
              <w:t xml:space="preserve">Entrevistas con los responsables de atracción y selección, gestión del desempeño y compensaciones y beneficios, cuyo contenido no consta en ningún procedimiento vigente</w:t>
            </w:r>
          </w:p>
        </w:tc>
        <w:tc>
          <w:tcPr>
            <w:tcW w:w="1800" w:type="dxa"/>
            <w:vAlign w:val="center"/>
          </w:tcPr>
          <w:p>
            <w:pPr>
              <w:spacing w:before="20" w:after="20" w:line="240" w:lineRule="auto"/>
              <w:jc w:val="center"/>
              <w:rPr>
                <w:sz w:val="18"/>
                <w:szCs w:val="18"/>
              </w:rPr>
            </w:pPr>
            <w:r>
              <w:rPr>
                <w:sz w:val="18"/>
                <w:szCs w:val="18"/>
              </w:rPr>
              <w:t xml:space="preserve">36</w:t>
            </w:r>
          </w:p>
        </w:tc>
      </w:tr>
      <w:tr>
        <w:tc>
          <w:tcPr>
            <w:tcW w:w="2000" w:type="dxa"/>
            <w:vAlign w:val="center"/>
          </w:tcPr>
          <w:p>
            <w:pPr>
              <w:spacing w:before="20" w:after="20" w:line="240" w:lineRule="auto"/>
              <w:jc w:val="left"/>
              <w:rPr>
                <w:sz w:val="18"/>
                <w:szCs w:val="18"/>
              </w:rPr>
            </w:pPr>
            <w:r>
              <w:rPr>
                <w:sz w:val="18"/>
                <w:szCs w:val="18"/>
              </w:rPr>
              <w:t xml:space="preserve">Insumo interno y marco de referencia</w:t>
            </w:r>
          </w:p>
        </w:tc>
        <w:tc>
          <w:tcPr>
            <w:tcW w:w="5320" w:type="dxa"/>
            <w:vAlign w:val="center"/>
          </w:tcPr>
          <w:p>
            <w:pPr>
              <w:spacing w:before="20" w:after="20" w:line="240" w:lineRule="auto"/>
              <w:jc w:val="left"/>
              <w:rPr>
                <w:sz w:val="18"/>
                <w:szCs w:val="18"/>
              </w:rPr>
            </w:pPr>
            <w:r>
              <w:rPr>
                <w:sz w:val="18"/>
                <w:szCs w:val="18"/>
              </w:rPr>
              <w:t xml:space="preserve">Descripción interna de las áreas funcionales del macroproceso, jornada de trabajo del Modelo de Gestión Operacional y Process Classification Framework de APQC v8.0</w:t>
            </w:r>
          </w:p>
        </w:tc>
        <w:tc>
          <w:tcPr>
            <w:tcW w:w="1800" w:type="dxa"/>
            <w:vAlign w:val="center"/>
          </w:tcPr>
          <w:p>
            <w:pPr>
              <w:spacing w:before="20" w:after="20" w:line="240" w:lineRule="auto"/>
              <w:jc w:val="center"/>
              <w:rPr>
                <w:sz w:val="18"/>
                <w:szCs w:val="18"/>
              </w:rPr>
            </w:pPr>
            <w:r>
              <w:rPr>
                <w:sz w:val="18"/>
                <w:szCs w:val="18"/>
              </w:rPr>
              <w:t xml:space="preserve">92</w:t>
            </w:r>
          </w:p>
        </w:tc>
      </w:tr>
      <w:tr>
        <w:tc>
          <w:tcPr>
            <w:tcW w:w="2000" w:type="dxa"/>
            <w:vAlign w:val="center"/>
          </w:tcPr>
          <w:p>
            <w:pPr>
              <w:spacing w:before="20" w:after="20" w:line="240" w:lineRule="auto"/>
              <w:jc w:val="left"/>
              <w:rPr>
                <w:sz w:val="18"/>
                <w:szCs w:val="18"/>
              </w:rPr>
            </w:pPr>
            <w:r>
              <w:rPr>
                <w:sz w:val="18"/>
                <w:szCs w:val="18"/>
              </w:rPr>
              <w:t xml:space="preserve">Sin fuente disponible</w:t>
            </w:r>
          </w:p>
        </w:tc>
        <w:tc>
          <w:tcPr>
            <w:tcW w:w="5320" w:type="dxa"/>
            <w:vAlign w:val="center"/>
          </w:tcPr>
          <w:p>
            <w:pPr>
              <w:spacing w:before="20" w:after="20" w:line="240" w:lineRule="auto"/>
              <w:jc w:val="left"/>
              <w:rPr>
                <w:sz w:val="18"/>
                <w:szCs w:val="18"/>
              </w:rPr>
            </w:pPr>
            <w:r>
              <w:rPr>
                <w:sz w:val="18"/>
                <w:szCs w:val="18"/>
              </w:rPr>
              <w:t xml:space="preserve">Elementos identificados como necesarios que ninguna de las fuentes anteriores permite describir, declarados como brecha de levantamiento</w:t>
            </w:r>
          </w:p>
        </w:tc>
        <w:tc>
          <w:tcPr>
            <w:tcW w:w="1800" w:type="dxa"/>
            <w:vAlign w:val="center"/>
          </w:tcPr>
          <w:p>
            <w:pPr>
              <w:spacing w:before="20" w:after="20" w:line="240" w:lineRule="auto"/>
              <w:jc w:val="center"/>
              <w:rPr>
                <w:sz w:val="18"/>
                <w:szCs w:val="18"/>
              </w:rPr>
            </w:pPr>
            <w:r>
              <w:rPr>
                <w:sz w:val="18"/>
                <w:szCs w:val="18"/>
              </w:rPr>
              <w:t xml:space="preserve">12</w:t>
            </w:r>
          </w:p>
        </w:tc>
      </w:tr>
    </w:tbl>
    <w:p>
      <w:pPr>
        <w:pStyle w:val="Fuente"/>
      </w:pPr>
      <w:r>
        <w:t xml:space="preserve">Fuente: Elaboración propia. Los elementos auxiliares del flujo, compuestos por proveedores iniciales, clientes finales, decisiones y sistemas de registro, no se incluyen en este recuento.</w:t>
      </w:r>
    </w:p>
    <w:p>
      <w:pPr>
        <w:pStyle w:val="Heading3"/>
      </w:pPr>
      <w:r>
        <w:t xml:space="preserve">3.2.2. Flujo único de información del macroproceso MP8</w:t>
      </w:r>
    </w:p>
    <w:p>
      <w:r>
        <w:t xml:space="preserve">El levantamiento se materializó en un flujo único de información de MP8, trazado como una cadena SIPOC continua desde el primer proveedor hasta el último cliente. El flujo comprende 261 elementos y 318 conexiones, y su punto de arranque no es la vacante, sino la necesidad estratégica de dotación, conforme al orden que establece el Process Classification Framework en su categoría 7. La cadena se organiza en 18 fases: diecisiete corresponden al ciclo de vida del trabajador y la última constituye una banda transversal de datos y gobernanza. Su composición se presenta en la Tabla 5.</w:t>
      </w:r>
    </w:p>
    <w:p>
      <w:pPr>
        <w:pStyle w:val="Caption"/>
        <w:keepNext/>
      </w:pPr>
      <w:r>
        <w:rPr>
          <w:b/>
        </w:rPr>
        <w:t xml:space="preserve">Tabla </w:t>
      </w:r>
      <w:fldSimple w:dirty="true" w:instr=" SEQ Tabla \* ARABIC ">
        <w:r>
          <w:t xml:space="preserve">1</w:t>
        </w:r>
      </w:fldSimple>
      <w:r>
        <w:rPr>
          <w:b/>
        </w:rPr>
        <w:t xml:space="preserve">. </w:t>
      </w:r>
      <w:r>
        <w:t xml:space="preserve">Composición del flujo único de información de MP8.</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700"/>
        <w:gridCol w:w="2200"/>
        <w:gridCol w:w="2220"/>
      </w:tblGrid>
      <w:tr>
        <w:trPr>
          <w:tblHeader/>
        </w:trPr>
        <w:tc>
          <w:tcPr>
            <w:tcW w:w="4700" w:type="dxa"/>
            <w:shd w:val="clear" w:color="auto" w:fill="D9D9D9"/>
            <w:vAlign w:val="center"/>
          </w:tcPr>
          <w:p>
            <w:pPr>
              <w:spacing w:before="20" w:after="20" w:line="240" w:lineRule="auto"/>
              <w:jc w:val="center"/>
              <w:rPr>
                <w:sz w:val="18"/>
                <w:szCs w:val="18"/>
              </w:rPr>
            </w:pPr>
            <w:r>
              <w:rPr>
                <w:b/>
                <w:sz w:val="18"/>
                <w:szCs w:val="18"/>
              </w:rPr>
              <w:t xml:space="preserve">Categoría de elemento</w:t>
            </w:r>
          </w:p>
        </w:tc>
        <w:tc>
          <w:tcPr>
            <w:tcW w:w="2200" w:type="dxa"/>
            <w:shd w:val="clear" w:color="auto" w:fill="D9D9D9"/>
            <w:vAlign w:val="center"/>
          </w:tcPr>
          <w:p>
            <w:pPr>
              <w:spacing w:before="20" w:after="20" w:line="240" w:lineRule="auto"/>
              <w:jc w:val="center"/>
              <w:rPr>
                <w:sz w:val="18"/>
                <w:szCs w:val="18"/>
              </w:rPr>
            </w:pPr>
            <w:r>
              <w:rPr>
                <w:b/>
                <w:sz w:val="18"/>
                <w:szCs w:val="18"/>
              </w:rPr>
              <w:t xml:space="preserve">Cantidad</w:t>
            </w:r>
          </w:p>
        </w:tc>
        <w:tc>
          <w:tcPr>
            <w:tcW w:w="2220" w:type="dxa"/>
            <w:shd w:val="clear" w:color="auto" w:fill="D9D9D9"/>
            <w:vAlign w:val="center"/>
          </w:tcPr>
          <w:p>
            <w:pPr>
              <w:spacing w:before="20" w:after="20" w:line="240" w:lineRule="auto"/>
              <w:jc w:val="center"/>
              <w:rPr>
                <w:sz w:val="18"/>
                <w:szCs w:val="18"/>
              </w:rPr>
            </w:pPr>
            <w:r>
              <w:rPr>
                <w:b/>
                <w:sz w:val="18"/>
                <w:szCs w:val="18"/>
              </w:rPr>
              <w:t xml:space="preserve">Participación</w:t>
            </w:r>
          </w:p>
        </w:tc>
      </w:tr>
      <w:tr>
        <w:tc>
          <w:tcPr>
            <w:tcW w:w="4700" w:type="dxa"/>
            <w:vAlign w:val="center"/>
          </w:tcPr>
          <w:p>
            <w:pPr>
              <w:spacing w:before="20" w:after="20" w:line="240" w:lineRule="auto"/>
              <w:jc w:val="left"/>
              <w:rPr>
                <w:sz w:val="18"/>
                <w:szCs w:val="18"/>
              </w:rPr>
            </w:pPr>
            <w:r>
              <w:rPr>
                <w:sz w:val="18"/>
                <w:szCs w:val="18"/>
              </w:rPr>
              <w:t xml:space="preserve">Paso respaldado en procedimiento vigente</w:t>
            </w:r>
          </w:p>
        </w:tc>
        <w:tc>
          <w:tcPr>
            <w:tcW w:w="2200" w:type="dxa"/>
            <w:vAlign w:val="center"/>
          </w:tcPr>
          <w:p>
            <w:pPr>
              <w:spacing w:before="20" w:after="20" w:line="240" w:lineRule="auto"/>
              <w:jc w:val="center"/>
              <w:rPr>
                <w:sz w:val="18"/>
                <w:szCs w:val="18"/>
              </w:rPr>
            </w:pPr>
            <w:r>
              <w:rPr>
                <w:sz w:val="18"/>
                <w:szCs w:val="18"/>
              </w:rPr>
              <w:t xml:space="preserve">94</w:t>
            </w:r>
          </w:p>
        </w:tc>
        <w:tc>
          <w:tcPr>
            <w:tcW w:w="2220" w:type="dxa"/>
            <w:vAlign w:val="center"/>
          </w:tcPr>
          <w:p>
            <w:pPr>
              <w:spacing w:before="20" w:after="20" w:line="240" w:lineRule="auto"/>
              <w:jc w:val="center"/>
              <w:rPr>
                <w:sz w:val="18"/>
                <w:szCs w:val="18"/>
              </w:rPr>
            </w:pPr>
            <w:r>
              <w:rPr>
                <w:sz w:val="18"/>
                <w:szCs w:val="18"/>
              </w:rPr>
              <w:t xml:space="preserve">36,0 %</w:t>
            </w:r>
          </w:p>
        </w:tc>
      </w:tr>
      <w:tr>
        <w:tc>
          <w:tcPr>
            <w:tcW w:w="4700" w:type="dxa"/>
            <w:vAlign w:val="center"/>
          </w:tcPr>
          <w:p>
            <w:pPr>
              <w:spacing w:before="20" w:after="20" w:line="240" w:lineRule="auto"/>
              <w:jc w:val="left"/>
              <w:rPr>
                <w:sz w:val="18"/>
                <w:szCs w:val="18"/>
              </w:rPr>
            </w:pPr>
            <w:r>
              <w:rPr>
                <w:sz w:val="18"/>
                <w:szCs w:val="18"/>
              </w:rPr>
              <w:t xml:space="preserve">Paso propuesto desde insumo interno o marco de referencia</w:t>
            </w:r>
          </w:p>
        </w:tc>
        <w:tc>
          <w:tcPr>
            <w:tcW w:w="2200" w:type="dxa"/>
            <w:vAlign w:val="center"/>
          </w:tcPr>
          <w:p>
            <w:pPr>
              <w:spacing w:before="20" w:after="20" w:line="240" w:lineRule="auto"/>
              <w:jc w:val="center"/>
              <w:rPr>
                <w:sz w:val="18"/>
                <w:szCs w:val="18"/>
              </w:rPr>
            </w:pPr>
            <w:r>
              <w:rPr>
                <w:sz w:val="18"/>
                <w:szCs w:val="18"/>
              </w:rPr>
              <w:t xml:space="preserve">92</w:t>
            </w:r>
          </w:p>
        </w:tc>
        <w:tc>
          <w:tcPr>
            <w:tcW w:w="2220" w:type="dxa"/>
            <w:vAlign w:val="center"/>
          </w:tcPr>
          <w:p>
            <w:pPr>
              <w:spacing w:before="20" w:after="20" w:line="240" w:lineRule="auto"/>
              <w:jc w:val="center"/>
              <w:rPr>
                <w:sz w:val="18"/>
                <w:szCs w:val="18"/>
              </w:rPr>
            </w:pPr>
            <w:r>
              <w:rPr>
                <w:sz w:val="18"/>
                <w:szCs w:val="18"/>
              </w:rPr>
              <w:t xml:space="preserve">35,2 %</w:t>
            </w:r>
          </w:p>
        </w:tc>
      </w:tr>
      <w:tr>
        <w:tc>
          <w:tcPr>
            <w:tcW w:w="4700" w:type="dxa"/>
            <w:vAlign w:val="center"/>
          </w:tcPr>
          <w:p>
            <w:pPr>
              <w:spacing w:before="20" w:after="20" w:line="240" w:lineRule="auto"/>
              <w:jc w:val="left"/>
              <w:rPr>
                <w:sz w:val="18"/>
                <w:szCs w:val="18"/>
              </w:rPr>
            </w:pPr>
            <w:r>
              <w:rPr>
                <w:sz w:val="18"/>
                <w:szCs w:val="18"/>
              </w:rPr>
              <w:t xml:space="preserve">Paso levantado en entrevista, sin documentación previa</w:t>
            </w:r>
          </w:p>
        </w:tc>
        <w:tc>
          <w:tcPr>
            <w:tcW w:w="2200" w:type="dxa"/>
            <w:vAlign w:val="center"/>
          </w:tcPr>
          <w:p>
            <w:pPr>
              <w:spacing w:before="20" w:after="20" w:line="240" w:lineRule="auto"/>
              <w:jc w:val="center"/>
              <w:rPr>
                <w:sz w:val="18"/>
                <w:szCs w:val="18"/>
              </w:rPr>
            </w:pPr>
            <w:r>
              <w:rPr>
                <w:sz w:val="18"/>
                <w:szCs w:val="18"/>
              </w:rPr>
              <w:t xml:space="preserve">36</w:t>
            </w:r>
          </w:p>
        </w:tc>
        <w:tc>
          <w:tcPr>
            <w:tcW w:w="2220" w:type="dxa"/>
            <w:vAlign w:val="center"/>
          </w:tcPr>
          <w:p>
            <w:pPr>
              <w:spacing w:before="20" w:after="20" w:line="240" w:lineRule="auto"/>
              <w:jc w:val="center"/>
              <w:rPr>
                <w:sz w:val="18"/>
                <w:szCs w:val="18"/>
              </w:rPr>
            </w:pPr>
            <w:r>
              <w:rPr>
                <w:sz w:val="18"/>
                <w:szCs w:val="18"/>
              </w:rPr>
              <w:t xml:space="preserve">13,8 %</w:t>
            </w:r>
          </w:p>
        </w:tc>
      </w:tr>
      <w:tr>
        <w:tc>
          <w:tcPr>
            <w:tcW w:w="4700" w:type="dxa"/>
            <w:vAlign w:val="center"/>
          </w:tcPr>
          <w:p>
            <w:pPr>
              <w:spacing w:before="20" w:after="20" w:line="240" w:lineRule="auto"/>
              <w:jc w:val="left"/>
              <w:rPr>
                <w:sz w:val="18"/>
                <w:szCs w:val="18"/>
              </w:rPr>
            </w:pPr>
            <w:r>
              <w:rPr>
                <w:sz w:val="18"/>
                <w:szCs w:val="18"/>
              </w:rPr>
              <w:t xml:space="preserve">Brecha de levantamiento declarada</w:t>
            </w:r>
          </w:p>
        </w:tc>
        <w:tc>
          <w:tcPr>
            <w:tcW w:w="2200" w:type="dxa"/>
            <w:vAlign w:val="center"/>
          </w:tcPr>
          <w:p>
            <w:pPr>
              <w:spacing w:before="20" w:after="20" w:line="240" w:lineRule="auto"/>
              <w:jc w:val="center"/>
              <w:rPr>
                <w:sz w:val="18"/>
                <w:szCs w:val="18"/>
              </w:rPr>
            </w:pPr>
            <w:r>
              <w:rPr>
                <w:sz w:val="18"/>
                <w:szCs w:val="18"/>
              </w:rPr>
              <w:t xml:space="preserve">12</w:t>
            </w:r>
          </w:p>
        </w:tc>
        <w:tc>
          <w:tcPr>
            <w:tcW w:w="2220" w:type="dxa"/>
            <w:vAlign w:val="center"/>
          </w:tcPr>
          <w:p>
            <w:pPr>
              <w:spacing w:before="20" w:after="20" w:line="240" w:lineRule="auto"/>
              <w:jc w:val="center"/>
              <w:rPr>
                <w:sz w:val="18"/>
                <w:szCs w:val="18"/>
              </w:rPr>
            </w:pPr>
            <w:r>
              <w:rPr>
                <w:sz w:val="18"/>
                <w:szCs w:val="18"/>
              </w:rPr>
              <w:t xml:space="preserve">4,6 %</w:t>
            </w:r>
          </w:p>
        </w:tc>
      </w:tr>
      <w:tr>
        <w:tc>
          <w:tcPr>
            <w:tcW w:w="4700" w:type="dxa"/>
            <w:vAlign w:val="center"/>
          </w:tcPr>
          <w:p>
            <w:pPr>
              <w:spacing w:before="20" w:after="20" w:line="240" w:lineRule="auto"/>
              <w:jc w:val="left"/>
              <w:rPr>
                <w:sz w:val="18"/>
                <w:szCs w:val="18"/>
              </w:rPr>
            </w:pPr>
            <w:r>
              <w:rPr>
                <w:sz w:val="18"/>
                <w:szCs w:val="18"/>
              </w:rPr>
              <w:t xml:space="preserve">Decisión</w:t>
            </w:r>
          </w:p>
        </w:tc>
        <w:tc>
          <w:tcPr>
            <w:tcW w:w="2200" w:type="dxa"/>
            <w:vAlign w:val="center"/>
          </w:tcPr>
          <w:p>
            <w:pPr>
              <w:spacing w:before="20" w:after="20" w:line="240" w:lineRule="auto"/>
              <w:jc w:val="center"/>
              <w:rPr>
                <w:sz w:val="18"/>
                <w:szCs w:val="18"/>
              </w:rPr>
            </w:pPr>
            <w:r>
              <w:rPr>
                <w:sz w:val="18"/>
                <w:szCs w:val="18"/>
              </w:rPr>
              <w:t xml:space="preserve">14</w:t>
            </w:r>
          </w:p>
        </w:tc>
        <w:tc>
          <w:tcPr>
            <w:tcW w:w="2220" w:type="dxa"/>
            <w:vAlign w:val="center"/>
          </w:tcPr>
          <w:p>
            <w:pPr>
              <w:spacing w:before="20" w:after="20" w:line="240" w:lineRule="auto"/>
              <w:jc w:val="center"/>
              <w:rPr>
                <w:sz w:val="18"/>
                <w:szCs w:val="18"/>
              </w:rPr>
            </w:pPr>
            <w:r>
              <w:rPr>
                <w:sz w:val="18"/>
                <w:szCs w:val="18"/>
              </w:rPr>
              <w:t xml:space="preserve">5,4 %</w:t>
            </w:r>
          </w:p>
        </w:tc>
      </w:tr>
      <w:tr>
        <w:tc>
          <w:tcPr>
            <w:tcW w:w="4700" w:type="dxa"/>
            <w:vAlign w:val="center"/>
          </w:tcPr>
          <w:p>
            <w:pPr>
              <w:spacing w:before="20" w:after="20" w:line="240" w:lineRule="auto"/>
              <w:jc w:val="left"/>
              <w:rPr>
                <w:sz w:val="18"/>
                <w:szCs w:val="18"/>
              </w:rPr>
            </w:pPr>
            <w:r>
              <w:rPr>
                <w:sz w:val="18"/>
                <w:szCs w:val="18"/>
              </w:rPr>
              <w:t xml:space="preserve">Cliente final</w:t>
            </w:r>
          </w:p>
        </w:tc>
        <w:tc>
          <w:tcPr>
            <w:tcW w:w="2200" w:type="dxa"/>
            <w:vAlign w:val="center"/>
          </w:tcPr>
          <w:p>
            <w:pPr>
              <w:spacing w:before="20" w:after="20" w:line="240" w:lineRule="auto"/>
              <w:jc w:val="center"/>
              <w:rPr>
                <w:sz w:val="18"/>
                <w:szCs w:val="18"/>
              </w:rPr>
            </w:pPr>
            <w:r>
              <w:rPr>
                <w:sz w:val="18"/>
                <w:szCs w:val="18"/>
              </w:rPr>
              <w:t xml:space="preserve">6</w:t>
            </w:r>
          </w:p>
        </w:tc>
        <w:tc>
          <w:tcPr>
            <w:tcW w:w="2220" w:type="dxa"/>
            <w:vAlign w:val="center"/>
          </w:tcPr>
          <w:p>
            <w:pPr>
              <w:spacing w:before="20" w:after="20" w:line="240" w:lineRule="auto"/>
              <w:jc w:val="center"/>
              <w:rPr>
                <w:sz w:val="18"/>
                <w:szCs w:val="18"/>
              </w:rPr>
            </w:pPr>
            <w:r>
              <w:rPr>
                <w:sz w:val="18"/>
                <w:szCs w:val="18"/>
              </w:rPr>
              <w:t xml:space="preserve">2,3 %</w:t>
            </w:r>
          </w:p>
        </w:tc>
      </w:tr>
      <w:tr>
        <w:tc>
          <w:tcPr>
            <w:tcW w:w="4700" w:type="dxa"/>
            <w:vAlign w:val="center"/>
          </w:tcPr>
          <w:p>
            <w:pPr>
              <w:spacing w:before="20" w:after="20" w:line="240" w:lineRule="auto"/>
              <w:jc w:val="left"/>
              <w:rPr>
                <w:sz w:val="18"/>
                <w:szCs w:val="18"/>
              </w:rPr>
            </w:pPr>
            <w:r>
              <w:rPr>
                <w:sz w:val="18"/>
                <w:szCs w:val="18"/>
              </w:rPr>
              <w:t xml:space="preserve">Proveedor inicial</w:t>
            </w:r>
          </w:p>
        </w:tc>
        <w:tc>
          <w:tcPr>
            <w:tcW w:w="2200" w:type="dxa"/>
            <w:vAlign w:val="center"/>
          </w:tcPr>
          <w:p>
            <w:pPr>
              <w:spacing w:before="20" w:after="20" w:line="240" w:lineRule="auto"/>
              <w:jc w:val="center"/>
              <w:rPr>
                <w:sz w:val="18"/>
                <w:szCs w:val="18"/>
              </w:rPr>
            </w:pPr>
            <w:r>
              <w:rPr>
                <w:sz w:val="18"/>
                <w:szCs w:val="18"/>
              </w:rPr>
              <w:t xml:space="preserve">5</w:t>
            </w:r>
          </w:p>
        </w:tc>
        <w:tc>
          <w:tcPr>
            <w:tcW w:w="2220" w:type="dxa"/>
            <w:vAlign w:val="center"/>
          </w:tcPr>
          <w:p>
            <w:pPr>
              <w:spacing w:before="20" w:after="20" w:line="240" w:lineRule="auto"/>
              <w:jc w:val="center"/>
              <w:rPr>
                <w:sz w:val="18"/>
                <w:szCs w:val="18"/>
              </w:rPr>
            </w:pPr>
            <w:r>
              <w:rPr>
                <w:sz w:val="18"/>
                <w:szCs w:val="18"/>
              </w:rPr>
              <w:t xml:space="preserve">1,9 %</w:t>
            </w:r>
          </w:p>
        </w:tc>
      </w:tr>
      <w:tr>
        <w:tc>
          <w:tcPr>
            <w:tcW w:w="4700" w:type="dxa"/>
            <w:vAlign w:val="center"/>
          </w:tcPr>
          <w:p>
            <w:pPr>
              <w:spacing w:before="20" w:after="20" w:line="240" w:lineRule="auto"/>
              <w:jc w:val="left"/>
              <w:rPr>
                <w:sz w:val="18"/>
                <w:szCs w:val="18"/>
              </w:rPr>
            </w:pPr>
            <w:r>
              <w:rPr>
                <w:sz w:val="18"/>
                <w:szCs w:val="18"/>
              </w:rPr>
              <w:t xml:space="preserve">Sistema de registro</w:t>
            </w:r>
          </w:p>
        </w:tc>
        <w:tc>
          <w:tcPr>
            <w:tcW w:w="2200" w:type="dxa"/>
            <w:vAlign w:val="center"/>
          </w:tcPr>
          <w:p>
            <w:pPr>
              <w:spacing w:before="20" w:after="20" w:line="240" w:lineRule="auto"/>
              <w:jc w:val="center"/>
              <w:rPr>
                <w:sz w:val="18"/>
                <w:szCs w:val="18"/>
              </w:rPr>
            </w:pPr>
            <w:r>
              <w:rPr>
                <w:sz w:val="18"/>
                <w:szCs w:val="18"/>
              </w:rPr>
              <w:t xml:space="preserve">2</w:t>
            </w:r>
          </w:p>
        </w:tc>
        <w:tc>
          <w:tcPr>
            <w:tcW w:w="2220" w:type="dxa"/>
            <w:vAlign w:val="center"/>
          </w:tcPr>
          <w:p>
            <w:pPr>
              <w:spacing w:before="20" w:after="20" w:line="240" w:lineRule="auto"/>
              <w:jc w:val="center"/>
              <w:rPr>
                <w:sz w:val="18"/>
                <w:szCs w:val="18"/>
              </w:rPr>
            </w:pPr>
            <w:r>
              <w:rPr>
                <w:sz w:val="18"/>
                <w:szCs w:val="18"/>
              </w:rPr>
              <w:t xml:space="preserve">0,8 %</w:t>
            </w:r>
          </w:p>
        </w:tc>
      </w:tr>
      <w:tr>
        <w:tc>
          <w:tcPr>
            <w:tcW w:w="4700" w:type="dxa"/>
            <w:vAlign w:val="center"/>
          </w:tcPr>
          <w:p>
            <w:pPr>
              <w:spacing w:before="20" w:after="20" w:line="240" w:lineRule="auto"/>
              <w:jc w:val="left"/>
              <w:rPr>
                <w:sz w:val="18"/>
                <w:szCs w:val="18"/>
              </w:rPr>
            </w:pPr>
            <w:r>
              <w:rPr>
                <w:sz w:val="18"/>
                <w:szCs w:val="18"/>
              </w:rPr>
              <w:t xml:space="preserve">Total</w:t>
            </w:r>
          </w:p>
        </w:tc>
        <w:tc>
          <w:tcPr>
            <w:tcW w:w="2200" w:type="dxa"/>
            <w:vAlign w:val="center"/>
          </w:tcPr>
          <w:p>
            <w:pPr>
              <w:spacing w:before="20" w:after="20" w:line="240" w:lineRule="auto"/>
              <w:jc w:val="center"/>
              <w:rPr>
                <w:sz w:val="18"/>
                <w:szCs w:val="18"/>
              </w:rPr>
            </w:pPr>
            <w:r>
              <w:rPr>
                <w:sz w:val="18"/>
                <w:szCs w:val="18"/>
              </w:rPr>
              <w:t xml:space="preserve">261</w:t>
            </w:r>
          </w:p>
        </w:tc>
        <w:tc>
          <w:tcPr>
            <w:tcW w:w="2220" w:type="dxa"/>
            <w:vAlign w:val="center"/>
          </w:tcPr>
          <w:p>
            <w:pPr>
              <w:spacing w:before="20" w:after="20" w:line="240" w:lineRule="auto"/>
              <w:jc w:val="center"/>
              <w:rPr>
                <w:sz w:val="18"/>
                <w:szCs w:val="18"/>
              </w:rPr>
            </w:pPr>
            <w:r>
              <w:rPr>
                <w:sz w:val="18"/>
                <w:szCs w:val="18"/>
              </w:rPr>
              <w:t xml:space="preserve">100,0 %</w:t>
            </w:r>
          </w:p>
        </w:tc>
      </w:tr>
    </w:tbl>
    <w:p>
      <w:pPr>
        <w:pStyle w:val="Fuente"/>
      </w:pPr>
      <w:r>
        <w:t xml:space="preserve">Fuente: Elaboración propia.</w:t>
      </w:r>
    </w:p>
    <w:p>
      <w:r>
        <w:t xml:space="preserve">De los 261 elementos, 234 corresponden a pasos del proceso y los 27 restantes son elementos auxiliares de la notación, esto es, decisiones, proveedores iniciales, clientes finales y sistemas de registro. Del total de elementos, 198 quedaron asociados a un código del Process Classification Framework, que involucran 86 códigos distintos de su categoría 7, y 85 elementos cuentan con un responsable identificado. La distribución por fase se presenta en la Tabla 6.</w:t>
      </w:r>
    </w:p>
    <w:p>
      <w:pPr>
        <w:pStyle w:val="Caption"/>
        <w:keepNext/>
      </w:pPr>
      <w:r>
        <w:rPr>
          <w:b/>
        </w:rPr>
        <w:t xml:space="preserve">Tabla </w:t>
      </w:r>
      <w:fldSimple w:dirty="true" w:instr=" SEQ Tabla \* ARABIC ">
        <w:r>
          <w:t xml:space="preserve">1</w:t>
        </w:r>
      </w:fldSimple>
      <w:r>
        <w:rPr>
          <w:b/>
        </w:rPr>
        <w:t xml:space="preserve">. </w:t>
      </w:r>
      <w:r>
        <w:t xml:space="preserve">Distribución de los elementos del flujo de MP8 por fase.</w:t>
      </w:r>
    </w:p>
    <w:tbl>
      <w:tblPr>
        <w:tblW w:w="834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560"/>
        <w:gridCol w:w="3600"/>
        <w:gridCol w:w="640"/>
        <w:gridCol w:w="700"/>
        <w:gridCol w:w="700"/>
        <w:gridCol w:w="800"/>
        <w:gridCol w:w="640"/>
        <w:gridCol w:w="700"/>
      </w:tblGrid>
      <w:tr>
        <w:trPr>
          <w:tblHeader/>
        </w:trPr>
        <w:tc>
          <w:tcPr>
            <w:tcW w:w="560" w:type="dxa"/>
            <w:shd w:val="clear" w:color="auto" w:fill="D9D9D9"/>
            <w:vAlign w:val="center"/>
          </w:tcPr>
          <w:p>
            <w:pPr>
              <w:spacing w:before="20" w:after="20" w:line="240" w:lineRule="auto"/>
              <w:jc w:val="center"/>
              <w:rPr>
                <w:sz w:val="16"/>
                <w:szCs w:val="16"/>
              </w:rPr>
            </w:pPr>
            <w:r>
              <w:rPr>
                <w:b/>
                <w:sz w:val="16"/>
                <w:szCs w:val="16"/>
              </w:rPr>
              <w:t xml:space="preserve">Fase</w:t>
            </w:r>
          </w:p>
        </w:tc>
        <w:tc>
          <w:tcPr>
            <w:tcW w:w="3600" w:type="dxa"/>
            <w:shd w:val="clear" w:color="auto" w:fill="D9D9D9"/>
            <w:vAlign w:val="center"/>
          </w:tcPr>
          <w:p>
            <w:pPr>
              <w:spacing w:before="20" w:after="20" w:line="240" w:lineRule="auto"/>
              <w:jc w:val="center"/>
              <w:rPr>
                <w:sz w:val="16"/>
                <w:szCs w:val="16"/>
              </w:rPr>
            </w:pPr>
            <w:r>
              <w:rPr>
                <w:b/>
                <w:sz w:val="16"/>
                <w:szCs w:val="16"/>
              </w:rPr>
              <w:t xml:space="preserve">Denominación</w:t>
            </w:r>
          </w:p>
        </w:tc>
        <w:tc>
          <w:tcPr>
            <w:tcW w:w="640" w:type="dxa"/>
            <w:shd w:val="clear" w:color="auto" w:fill="D9D9D9"/>
            <w:vAlign w:val="center"/>
          </w:tcPr>
          <w:p>
            <w:pPr>
              <w:spacing w:before="20" w:after="20" w:line="240" w:lineRule="auto"/>
              <w:jc w:val="center"/>
              <w:rPr>
                <w:sz w:val="16"/>
                <w:szCs w:val="16"/>
              </w:rPr>
            </w:pPr>
            <w:r>
              <w:rPr>
                <w:b/>
                <w:sz w:val="16"/>
                <w:szCs w:val="16"/>
              </w:rPr>
              <w:t xml:space="preserve">Doc.</w:t>
            </w:r>
          </w:p>
        </w:tc>
        <w:tc>
          <w:tcPr>
            <w:tcW w:w="700" w:type="dxa"/>
            <w:shd w:val="clear" w:color="auto" w:fill="D9D9D9"/>
            <w:vAlign w:val="center"/>
          </w:tcPr>
          <w:p>
            <w:pPr>
              <w:spacing w:before="20" w:after="20" w:line="240" w:lineRule="auto"/>
              <w:jc w:val="center"/>
              <w:rPr>
                <w:sz w:val="16"/>
                <w:szCs w:val="16"/>
              </w:rPr>
            </w:pPr>
            <w:r>
              <w:rPr>
                <w:b/>
                <w:sz w:val="16"/>
                <w:szCs w:val="16"/>
              </w:rPr>
              <w:t xml:space="preserve">Entr.</w:t>
            </w:r>
          </w:p>
        </w:tc>
        <w:tc>
          <w:tcPr>
            <w:tcW w:w="700" w:type="dxa"/>
            <w:shd w:val="clear" w:color="auto" w:fill="D9D9D9"/>
            <w:vAlign w:val="center"/>
          </w:tcPr>
          <w:p>
            <w:pPr>
              <w:spacing w:before="20" w:after="20" w:line="240" w:lineRule="auto"/>
              <w:jc w:val="center"/>
              <w:rPr>
                <w:sz w:val="16"/>
                <w:szCs w:val="16"/>
              </w:rPr>
            </w:pPr>
            <w:r>
              <w:rPr>
                <w:b/>
                <w:sz w:val="16"/>
                <w:szCs w:val="16"/>
              </w:rPr>
              <w:t xml:space="preserve">Prop.</w:t>
            </w:r>
          </w:p>
        </w:tc>
        <w:tc>
          <w:tcPr>
            <w:tcW w:w="800" w:type="dxa"/>
            <w:shd w:val="clear" w:color="auto" w:fill="D9D9D9"/>
            <w:vAlign w:val="center"/>
          </w:tcPr>
          <w:p>
            <w:pPr>
              <w:spacing w:before="20" w:after="20" w:line="240" w:lineRule="auto"/>
              <w:jc w:val="center"/>
              <w:rPr>
                <w:sz w:val="16"/>
                <w:szCs w:val="16"/>
              </w:rPr>
            </w:pPr>
            <w:r>
              <w:rPr>
                <w:b/>
                <w:sz w:val="16"/>
                <w:szCs w:val="16"/>
              </w:rPr>
              <w:t xml:space="preserve">Brecha</w:t>
            </w:r>
          </w:p>
        </w:tc>
        <w:tc>
          <w:tcPr>
            <w:tcW w:w="640" w:type="dxa"/>
            <w:shd w:val="clear" w:color="auto" w:fill="D9D9D9"/>
            <w:vAlign w:val="center"/>
          </w:tcPr>
          <w:p>
            <w:pPr>
              <w:spacing w:before="20" w:after="20" w:line="240" w:lineRule="auto"/>
              <w:jc w:val="center"/>
              <w:rPr>
                <w:sz w:val="16"/>
                <w:szCs w:val="16"/>
              </w:rPr>
            </w:pPr>
            <w:r>
              <w:rPr>
                <w:b/>
                <w:sz w:val="16"/>
                <w:szCs w:val="16"/>
              </w:rPr>
              <w:t xml:space="preserve">Aux.</w:t>
            </w:r>
          </w:p>
        </w:tc>
        <w:tc>
          <w:tcPr>
            <w:tcW w:w="700" w:type="dxa"/>
            <w:shd w:val="clear" w:color="auto" w:fill="D9D9D9"/>
            <w:vAlign w:val="center"/>
          </w:tcPr>
          <w:p>
            <w:pPr>
              <w:spacing w:before="20" w:after="20" w:line="240" w:lineRule="auto"/>
              <w:jc w:val="center"/>
              <w:rPr>
                <w:sz w:val="16"/>
                <w:szCs w:val="16"/>
              </w:rPr>
            </w:pPr>
            <w:r>
              <w:rPr>
                <w:b/>
                <w:sz w:val="16"/>
                <w:szCs w:val="16"/>
              </w:rPr>
              <w:t xml:space="preserve">Total</w:t>
            </w:r>
          </w:p>
        </w:tc>
      </w:tr>
      <w:tr>
        <w:tc>
          <w:tcPr>
            <w:tcW w:w="560" w:type="dxa"/>
            <w:vAlign w:val="center"/>
          </w:tcPr>
          <w:p>
            <w:pPr>
              <w:spacing w:before="20" w:after="20" w:line="240" w:lineRule="auto"/>
              <w:jc w:val="center"/>
              <w:rPr>
                <w:sz w:val="16"/>
                <w:szCs w:val="16"/>
              </w:rPr>
            </w:pPr>
            <w:r>
              <w:rPr>
                <w:sz w:val="16"/>
                <w:szCs w:val="16"/>
              </w:rPr>
              <w:t xml:space="preserve">F1</w:t>
            </w:r>
          </w:p>
        </w:tc>
        <w:tc>
          <w:tcPr>
            <w:tcW w:w="3600" w:type="dxa"/>
            <w:vAlign w:val="center"/>
          </w:tcPr>
          <w:p>
            <w:pPr>
              <w:spacing w:before="20" w:after="20" w:line="240" w:lineRule="auto"/>
              <w:jc w:val="left"/>
              <w:rPr>
                <w:sz w:val="16"/>
                <w:szCs w:val="16"/>
              </w:rPr>
            </w:pPr>
            <w:r>
              <w:rPr>
                <w:sz w:val="16"/>
                <w:szCs w:val="16"/>
              </w:rPr>
              <w:t xml:space="preserve">Necesidad estratégica y plan de dotación</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11</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12</w:t>
            </w:r>
          </w:p>
        </w:tc>
      </w:tr>
      <w:tr>
        <w:tc>
          <w:tcPr>
            <w:tcW w:w="560" w:type="dxa"/>
            <w:vAlign w:val="center"/>
          </w:tcPr>
          <w:p>
            <w:pPr>
              <w:spacing w:before="20" w:after="20" w:line="240" w:lineRule="auto"/>
              <w:jc w:val="center"/>
              <w:rPr>
                <w:sz w:val="16"/>
                <w:szCs w:val="16"/>
              </w:rPr>
            </w:pPr>
            <w:r>
              <w:rPr>
                <w:sz w:val="16"/>
                <w:szCs w:val="16"/>
              </w:rPr>
              <w:t xml:space="preserve">F2</w:t>
            </w:r>
          </w:p>
        </w:tc>
        <w:tc>
          <w:tcPr>
            <w:tcW w:w="3600" w:type="dxa"/>
            <w:vAlign w:val="center"/>
          </w:tcPr>
          <w:p>
            <w:pPr>
              <w:spacing w:before="20" w:after="20" w:line="240" w:lineRule="auto"/>
              <w:jc w:val="left"/>
              <w:rPr>
                <w:sz w:val="16"/>
                <w:szCs w:val="16"/>
              </w:rPr>
            </w:pPr>
            <w:r>
              <w:rPr>
                <w:sz w:val="16"/>
                <w:szCs w:val="16"/>
              </w:rPr>
              <w:t xml:space="preserve">Valoración de cargo y banda de renta</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6</w:t>
            </w:r>
          </w:p>
        </w:tc>
        <w:tc>
          <w:tcPr>
            <w:tcW w:w="700" w:type="dxa"/>
            <w:vAlign w:val="center"/>
          </w:tcPr>
          <w:p>
            <w:pPr>
              <w:spacing w:before="20" w:after="20" w:line="240" w:lineRule="auto"/>
              <w:jc w:val="center"/>
              <w:rPr>
                <w:sz w:val="16"/>
                <w:szCs w:val="16"/>
              </w:rPr>
            </w:pPr>
            <w:r>
              <w:rPr>
                <w:sz w:val="16"/>
                <w:szCs w:val="16"/>
              </w:rPr>
              <w:t xml:space="preserve">7</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13</w:t>
            </w:r>
          </w:p>
        </w:tc>
      </w:tr>
      <w:tr>
        <w:tc>
          <w:tcPr>
            <w:tcW w:w="560" w:type="dxa"/>
            <w:vAlign w:val="center"/>
          </w:tcPr>
          <w:p>
            <w:pPr>
              <w:spacing w:before="20" w:after="20" w:line="240" w:lineRule="auto"/>
              <w:jc w:val="center"/>
              <w:rPr>
                <w:sz w:val="16"/>
                <w:szCs w:val="16"/>
              </w:rPr>
            </w:pPr>
            <w:r>
              <w:rPr>
                <w:sz w:val="16"/>
                <w:szCs w:val="16"/>
              </w:rPr>
              <w:t xml:space="preserve">F3</w:t>
            </w:r>
          </w:p>
        </w:tc>
        <w:tc>
          <w:tcPr>
            <w:tcW w:w="3600" w:type="dxa"/>
            <w:vAlign w:val="center"/>
          </w:tcPr>
          <w:p>
            <w:pPr>
              <w:spacing w:before="20" w:after="20" w:line="240" w:lineRule="auto"/>
              <w:jc w:val="left"/>
              <w:rPr>
                <w:sz w:val="16"/>
                <w:szCs w:val="16"/>
              </w:rPr>
            </w:pPr>
            <w:r>
              <w:rPr>
                <w:sz w:val="16"/>
                <w:szCs w:val="16"/>
              </w:rPr>
              <w:t xml:space="preserve">Requisición y apertura de vacante</w:t>
            </w:r>
          </w:p>
        </w:tc>
        <w:tc>
          <w:tcPr>
            <w:tcW w:w="640" w:type="dxa"/>
            <w:vAlign w:val="center"/>
          </w:tcPr>
          <w:p>
            <w:pPr>
              <w:spacing w:before="20" w:after="20" w:line="240" w:lineRule="auto"/>
              <w:jc w:val="center"/>
              <w:rPr>
                <w:sz w:val="16"/>
                <w:szCs w:val="16"/>
              </w:rPr>
            </w:pPr>
            <w:r>
              <w:rPr>
                <w:sz w:val="16"/>
                <w:szCs w:val="16"/>
              </w:rPr>
              <w:t xml:space="preserve">12</w:t>
            </w:r>
          </w:p>
        </w:tc>
        <w:tc>
          <w:tcPr>
            <w:tcW w:w="700" w:type="dxa"/>
            <w:vAlign w:val="center"/>
          </w:tcPr>
          <w:p>
            <w:pPr>
              <w:spacing w:before="20" w:after="20" w:line="240" w:lineRule="auto"/>
              <w:jc w:val="center"/>
              <w:rPr>
                <w:sz w:val="16"/>
                <w:szCs w:val="16"/>
              </w:rPr>
            </w:pPr>
            <w:r>
              <w:rPr>
                <w:sz w:val="16"/>
                <w:szCs w:val="16"/>
              </w:rPr>
              <w:t xml:space="preserve">3</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16</w:t>
            </w:r>
          </w:p>
        </w:tc>
      </w:tr>
      <w:tr>
        <w:tc>
          <w:tcPr>
            <w:tcW w:w="560" w:type="dxa"/>
            <w:vAlign w:val="center"/>
          </w:tcPr>
          <w:p>
            <w:pPr>
              <w:spacing w:before="20" w:after="20" w:line="240" w:lineRule="auto"/>
              <w:jc w:val="center"/>
              <w:rPr>
                <w:sz w:val="16"/>
                <w:szCs w:val="16"/>
              </w:rPr>
            </w:pPr>
            <w:r>
              <w:rPr>
                <w:sz w:val="16"/>
                <w:szCs w:val="16"/>
              </w:rPr>
              <w:t xml:space="preserve">F4</w:t>
            </w:r>
          </w:p>
        </w:tc>
        <w:tc>
          <w:tcPr>
            <w:tcW w:w="3600" w:type="dxa"/>
            <w:vAlign w:val="center"/>
          </w:tcPr>
          <w:p>
            <w:pPr>
              <w:spacing w:before="20" w:after="20" w:line="240" w:lineRule="auto"/>
              <w:jc w:val="left"/>
              <w:rPr>
                <w:sz w:val="16"/>
                <w:szCs w:val="16"/>
              </w:rPr>
            </w:pPr>
            <w:r>
              <w:rPr>
                <w:sz w:val="16"/>
                <w:szCs w:val="16"/>
              </w:rPr>
              <w:t xml:space="preserve">Reclutamiento y filtro curricular</w:t>
            </w:r>
          </w:p>
        </w:tc>
        <w:tc>
          <w:tcPr>
            <w:tcW w:w="640" w:type="dxa"/>
            <w:vAlign w:val="center"/>
          </w:tcPr>
          <w:p>
            <w:pPr>
              <w:spacing w:before="20" w:after="20" w:line="240" w:lineRule="auto"/>
              <w:jc w:val="center"/>
              <w:rPr>
                <w:sz w:val="16"/>
                <w:szCs w:val="16"/>
              </w:rPr>
            </w:pPr>
            <w:r>
              <w:rPr>
                <w:sz w:val="16"/>
                <w:szCs w:val="16"/>
              </w:rPr>
              <w:t xml:space="preserve">7</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2</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9</w:t>
            </w:r>
          </w:p>
        </w:tc>
      </w:tr>
      <w:tr>
        <w:tc>
          <w:tcPr>
            <w:tcW w:w="560" w:type="dxa"/>
            <w:vAlign w:val="center"/>
          </w:tcPr>
          <w:p>
            <w:pPr>
              <w:spacing w:before="20" w:after="20" w:line="240" w:lineRule="auto"/>
              <w:jc w:val="center"/>
              <w:rPr>
                <w:sz w:val="16"/>
                <w:szCs w:val="16"/>
              </w:rPr>
            </w:pPr>
            <w:r>
              <w:rPr>
                <w:sz w:val="16"/>
                <w:szCs w:val="16"/>
              </w:rPr>
              <w:t xml:space="preserve">F5</w:t>
            </w:r>
          </w:p>
        </w:tc>
        <w:tc>
          <w:tcPr>
            <w:tcW w:w="3600" w:type="dxa"/>
            <w:vAlign w:val="center"/>
          </w:tcPr>
          <w:p>
            <w:pPr>
              <w:spacing w:before="20" w:after="20" w:line="240" w:lineRule="auto"/>
              <w:jc w:val="left"/>
              <w:rPr>
                <w:sz w:val="16"/>
                <w:szCs w:val="16"/>
              </w:rPr>
            </w:pPr>
            <w:r>
              <w:rPr>
                <w:sz w:val="16"/>
                <w:szCs w:val="16"/>
              </w:rPr>
              <w:t xml:space="preserve">Revisión del área solicitante</w:t>
            </w:r>
          </w:p>
        </w:tc>
        <w:tc>
          <w:tcPr>
            <w:tcW w:w="640" w:type="dxa"/>
            <w:vAlign w:val="center"/>
          </w:tcPr>
          <w:p>
            <w:pPr>
              <w:spacing w:before="20" w:after="20" w:line="240" w:lineRule="auto"/>
              <w:jc w:val="center"/>
              <w:rPr>
                <w:sz w:val="16"/>
                <w:szCs w:val="16"/>
              </w:rPr>
            </w:pPr>
            <w:r>
              <w:rPr>
                <w:sz w:val="16"/>
                <w:szCs w:val="16"/>
              </w:rPr>
              <w:t xml:space="preserve">6</w:t>
            </w:r>
          </w:p>
        </w:tc>
        <w:tc>
          <w:tcPr>
            <w:tcW w:w="70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8</w:t>
            </w:r>
          </w:p>
        </w:tc>
      </w:tr>
      <w:tr>
        <w:tc>
          <w:tcPr>
            <w:tcW w:w="560" w:type="dxa"/>
            <w:vAlign w:val="center"/>
          </w:tcPr>
          <w:p>
            <w:pPr>
              <w:spacing w:before="20" w:after="20" w:line="240" w:lineRule="auto"/>
              <w:jc w:val="center"/>
              <w:rPr>
                <w:sz w:val="16"/>
                <w:szCs w:val="16"/>
              </w:rPr>
            </w:pPr>
            <w:r>
              <w:rPr>
                <w:sz w:val="16"/>
                <w:szCs w:val="16"/>
              </w:rPr>
              <w:t xml:space="preserve">F6</w:t>
            </w:r>
          </w:p>
        </w:tc>
        <w:tc>
          <w:tcPr>
            <w:tcW w:w="3600" w:type="dxa"/>
            <w:vAlign w:val="center"/>
          </w:tcPr>
          <w:p>
            <w:pPr>
              <w:spacing w:before="20" w:after="20" w:line="240" w:lineRule="auto"/>
              <w:jc w:val="left"/>
              <w:rPr>
                <w:sz w:val="16"/>
                <w:szCs w:val="16"/>
              </w:rPr>
            </w:pPr>
            <w:r>
              <w:rPr>
                <w:sz w:val="16"/>
                <w:szCs w:val="16"/>
              </w:rPr>
              <w:t xml:space="preserve">Evaluación psicolaboral</w:t>
            </w:r>
          </w:p>
        </w:tc>
        <w:tc>
          <w:tcPr>
            <w:tcW w:w="640" w:type="dxa"/>
            <w:vAlign w:val="center"/>
          </w:tcPr>
          <w:p>
            <w:pPr>
              <w:spacing w:before="20" w:after="20" w:line="240" w:lineRule="auto"/>
              <w:jc w:val="center"/>
              <w:rPr>
                <w:sz w:val="16"/>
                <w:szCs w:val="16"/>
              </w:rPr>
            </w:pPr>
            <w:r>
              <w:rPr>
                <w:sz w:val="16"/>
                <w:szCs w:val="16"/>
              </w:rPr>
              <w:t xml:space="preserve">9</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2</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12</w:t>
            </w:r>
          </w:p>
        </w:tc>
      </w:tr>
      <w:tr>
        <w:tc>
          <w:tcPr>
            <w:tcW w:w="560" w:type="dxa"/>
            <w:vAlign w:val="center"/>
          </w:tcPr>
          <w:p>
            <w:pPr>
              <w:spacing w:before="20" w:after="20" w:line="240" w:lineRule="auto"/>
              <w:jc w:val="center"/>
              <w:rPr>
                <w:sz w:val="16"/>
                <w:szCs w:val="16"/>
              </w:rPr>
            </w:pPr>
            <w:r>
              <w:rPr>
                <w:sz w:val="16"/>
                <w:szCs w:val="16"/>
              </w:rPr>
              <w:t xml:space="preserve">F7</w:t>
            </w:r>
          </w:p>
        </w:tc>
        <w:tc>
          <w:tcPr>
            <w:tcW w:w="3600" w:type="dxa"/>
            <w:vAlign w:val="center"/>
          </w:tcPr>
          <w:p>
            <w:pPr>
              <w:spacing w:before="20" w:after="20" w:line="240" w:lineRule="auto"/>
              <w:jc w:val="left"/>
              <w:rPr>
                <w:sz w:val="16"/>
                <w:szCs w:val="16"/>
              </w:rPr>
            </w:pPr>
            <w:r>
              <w:rPr>
                <w:sz w:val="16"/>
                <w:szCs w:val="16"/>
              </w:rPr>
              <w:t xml:space="preserve">Entrevistas del área solicitante</w:t>
            </w:r>
          </w:p>
        </w:tc>
        <w:tc>
          <w:tcPr>
            <w:tcW w:w="640" w:type="dxa"/>
            <w:vAlign w:val="center"/>
          </w:tcPr>
          <w:p>
            <w:pPr>
              <w:spacing w:before="20" w:after="20" w:line="240" w:lineRule="auto"/>
              <w:jc w:val="center"/>
              <w:rPr>
                <w:sz w:val="16"/>
                <w:szCs w:val="16"/>
              </w:rPr>
            </w:pPr>
            <w:r>
              <w:rPr>
                <w:sz w:val="16"/>
                <w:szCs w:val="16"/>
              </w:rPr>
              <w:t xml:space="preserve">6</w:t>
            </w:r>
          </w:p>
        </w:tc>
        <w:tc>
          <w:tcPr>
            <w:tcW w:w="700" w:type="dxa"/>
            <w:vAlign w:val="center"/>
          </w:tcPr>
          <w:p>
            <w:pPr>
              <w:spacing w:before="20" w:after="20" w:line="240" w:lineRule="auto"/>
              <w:jc w:val="center"/>
              <w:rPr>
                <w:sz w:val="16"/>
                <w:szCs w:val="16"/>
              </w:rPr>
            </w:pPr>
            <w:r>
              <w:rPr>
                <w:sz w:val="16"/>
                <w:szCs w:val="16"/>
              </w:rPr>
              <w:t xml:space="preserve">2</w:t>
            </w:r>
          </w:p>
        </w:tc>
        <w:tc>
          <w:tcPr>
            <w:tcW w:w="700" w:type="dxa"/>
            <w:vAlign w:val="center"/>
          </w:tcPr>
          <w:p>
            <w:pPr>
              <w:spacing w:before="20" w:after="20" w:line="240" w:lineRule="auto"/>
              <w:jc w:val="center"/>
              <w:rPr>
                <w:sz w:val="16"/>
                <w:szCs w:val="16"/>
              </w:rPr>
            </w:pPr>
            <w:r>
              <w:rPr>
                <w:sz w:val="16"/>
                <w:szCs w:val="16"/>
              </w:rPr>
              <w:t xml:space="preserve">2</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2</w:t>
            </w:r>
          </w:p>
        </w:tc>
        <w:tc>
          <w:tcPr>
            <w:tcW w:w="700" w:type="dxa"/>
            <w:vAlign w:val="center"/>
          </w:tcPr>
          <w:p>
            <w:pPr>
              <w:spacing w:before="20" w:after="20" w:line="240" w:lineRule="auto"/>
              <w:jc w:val="center"/>
              <w:rPr>
                <w:sz w:val="16"/>
                <w:szCs w:val="16"/>
              </w:rPr>
            </w:pPr>
            <w:r>
              <w:rPr>
                <w:sz w:val="16"/>
                <w:szCs w:val="16"/>
              </w:rPr>
              <w:t xml:space="preserve">12</w:t>
            </w:r>
          </w:p>
        </w:tc>
      </w:tr>
      <w:tr>
        <w:tc>
          <w:tcPr>
            <w:tcW w:w="560" w:type="dxa"/>
            <w:vAlign w:val="center"/>
          </w:tcPr>
          <w:p>
            <w:pPr>
              <w:spacing w:before="20" w:after="20" w:line="240" w:lineRule="auto"/>
              <w:jc w:val="center"/>
              <w:rPr>
                <w:sz w:val="16"/>
                <w:szCs w:val="16"/>
              </w:rPr>
            </w:pPr>
            <w:r>
              <w:rPr>
                <w:sz w:val="16"/>
                <w:szCs w:val="16"/>
              </w:rPr>
              <w:t xml:space="preserve">F8</w:t>
            </w:r>
          </w:p>
        </w:tc>
        <w:tc>
          <w:tcPr>
            <w:tcW w:w="3600" w:type="dxa"/>
            <w:vAlign w:val="center"/>
          </w:tcPr>
          <w:p>
            <w:pPr>
              <w:spacing w:before="20" w:after="20" w:line="240" w:lineRule="auto"/>
              <w:jc w:val="left"/>
              <w:rPr>
                <w:sz w:val="16"/>
                <w:szCs w:val="16"/>
              </w:rPr>
            </w:pPr>
            <w:r>
              <w:rPr>
                <w:sz w:val="16"/>
                <w:szCs w:val="16"/>
              </w:rPr>
              <w:t xml:space="preserve">Examen preocupacional</w:t>
            </w:r>
          </w:p>
        </w:tc>
        <w:tc>
          <w:tcPr>
            <w:tcW w:w="640" w:type="dxa"/>
            <w:vAlign w:val="center"/>
          </w:tcPr>
          <w:p>
            <w:pPr>
              <w:spacing w:before="20" w:after="20" w:line="240" w:lineRule="auto"/>
              <w:jc w:val="center"/>
              <w:rPr>
                <w:sz w:val="16"/>
                <w:szCs w:val="16"/>
              </w:rPr>
            </w:pPr>
            <w:r>
              <w:rPr>
                <w:sz w:val="16"/>
                <w:szCs w:val="16"/>
              </w:rPr>
              <w:t xml:space="preserve">5</w:t>
            </w:r>
          </w:p>
        </w:tc>
        <w:tc>
          <w:tcPr>
            <w:tcW w:w="700" w:type="dxa"/>
            <w:vAlign w:val="center"/>
          </w:tcPr>
          <w:p>
            <w:pPr>
              <w:spacing w:before="20" w:after="20" w:line="240" w:lineRule="auto"/>
              <w:jc w:val="center"/>
              <w:rPr>
                <w:sz w:val="16"/>
                <w:szCs w:val="16"/>
              </w:rPr>
            </w:pPr>
            <w:r>
              <w:rPr>
                <w:sz w:val="16"/>
                <w:szCs w:val="16"/>
              </w:rPr>
              <w:t xml:space="preserve">5</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11</w:t>
            </w:r>
          </w:p>
        </w:tc>
      </w:tr>
      <w:tr>
        <w:tc>
          <w:tcPr>
            <w:tcW w:w="560" w:type="dxa"/>
            <w:vAlign w:val="center"/>
          </w:tcPr>
          <w:p>
            <w:pPr>
              <w:spacing w:before="20" w:after="20" w:line="240" w:lineRule="auto"/>
              <w:jc w:val="center"/>
              <w:rPr>
                <w:sz w:val="16"/>
                <w:szCs w:val="16"/>
              </w:rPr>
            </w:pPr>
            <w:r>
              <w:rPr>
                <w:sz w:val="16"/>
                <w:szCs w:val="16"/>
              </w:rPr>
              <w:t xml:space="preserve">F9</w:t>
            </w:r>
          </w:p>
        </w:tc>
        <w:tc>
          <w:tcPr>
            <w:tcW w:w="3600" w:type="dxa"/>
            <w:vAlign w:val="center"/>
          </w:tcPr>
          <w:p>
            <w:pPr>
              <w:spacing w:before="20" w:after="20" w:line="240" w:lineRule="auto"/>
              <w:jc w:val="left"/>
              <w:rPr>
                <w:sz w:val="16"/>
                <w:szCs w:val="16"/>
              </w:rPr>
            </w:pPr>
            <w:r>
              <w:rPr>
                <w:sz w:val="16"/>
                <w:szCs w:val="16"/>
              </w:rPr>
              <w:t xml:space="preserve">Contratación y carta oferta</w:t>
            </w:r>
          </w:p>
        </w:tc>
        <w:tc>
          <w:tcPr>
            <w:tcW w:w="640" w:type="dxa"/>
            <w:vAlign w:val="center"/>
          </w:tcPr>
          <w:p>
            <w:pPr>
              <w:spacing w:before="20" w:after="20" w:line="240" w:lineRule="auto"/>
              <w:jc w:val="center"/>
              <w:rPr>
                <w:sz w:val="16"/>
                <w:szCs w:val="16"/>
              </w:rPr>
            </w:pPr>
            <w:r>
              <w:rPr>
                <w:sz w:val="16"/>
                <w:szCs w:val="16"/>
              </w:rPr>
              <w:t xml:space="preserve">8</w:t>
            </w:r>
          </w:p>
        </w:tc>
        <w:tc>
          <w:tcPr>
            <w:tcW w:w="700" w:type="dxa"/>
            <w:vAlign w:val="center"/>
          </w:tcPr>
          <w:p>
            <w:pPr>
              <w:spacing w:before="20" w:after="20" w:line="240" w:lineRule="auto"/>
              <w:jc w:val="center"/>
              <w:rPr>
                <w:sz w:val="16"/>
                <w:szCs w:val="16"/>
              </w:rPr>
            </w:pPr>
            <w:r>
              <w:rPr>
                <w:sz w:val="16"/>
                <w:szCs w:val="16"/>
              </w:rPr>
              <w:t xml:space="preserve">4</w:t>
            </w:r>
          </w:p>
        </w:tc>
        <w:tc>
          <w:tcPr>
            <w:tcW w:w="700" w:type="dxa"/>
            <w:vAlign w:val="center"/>
          </w:tcPr>
          <w:p>
            <w:pPr>
              <w:spacing w:before="20" w:after="20" w:line="240" w:lineRule="auto"/>
              <w:jc w:val="center"/>
              <w:rPr>
                <w:sz w:val="16"/>
                <w:szCs w:val="16"/>
              </w:rPr>
            </w:pPr>
            <w:r>
              <w:rPr>
                <w:sz w:val="16"/>
                <w:szCs w:val="16"/>
              </w:rPr>
              <w:t xml:space="preserve">4</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2</w:t>
            </w:r>
          </w:p>
        </w:tc>
        <w:tc>
          <w:tcPr>
            <w:tcW w:w="700" w:type="dxa"/>
            <w:vAlign w:val="center"/>
          </w:tcPr>
          <w:p>
            <w:pPr>
              <w:spacing w:before="20" w:after="20" w:line="240" w:lineRule="auto"/>
              <w:jc w:val="center"/>
              <w:rPr>
                <w:sz w:val="16"/>
                <w:szCs w:val="16"/>
              </w:rPr>
            </w:pPr>
            <w:r>
              <w:rPr>
                <w:sz w:val="16"/>
                <w:szCs w:val="16"/>
              </w:rPr>
              <w:t xml:space="preserve">18</w:t>
            </w:r>
          </w:p>
        </w:tc>
      </w:tr>
      <w:tr>
        <w:tc>
          <w:tcPr>
            <w:tcW w:w="560" w:type="dxa"/>
            <w:vAlign w:val="center"/>
          </w:tcPr>
          <w:p>
            <w:pPr>
              <w:spacing w:before="20" w:after="20" w:line="240" w:lineRule="auto"/>
              <w:jc w:val="center"/>
              <w:rPr>
                <w:sz w:val="16"/>
                <w:szCs w:val="16"/>
              </w:rPr>
            </w:pPr>
            <w:r>
              <w:rPr>
                <w:sz w:val="16"/>
                <w:szCs w:val="16"/>
              </w:rPr>
              <w:t xml:space="preserve">F10</w:t>
            </w:r>
          </w:p>
        </w:tc>
        <w:tc>
          <w:tcPr>
            <w:tcW w:w="3600" w:type="dxa"/>
            <w:vAlign w:val="center"/>
          </w:tcPr>
          <w:p>
            <w:pPr>
              <w:spacing w:before="20" w:after="20" w:line="240" w:lineRule="auto"/>
              <w:jc w:val="left"/>
              <w:rPr>
                <w:sz w:val="16"/>
                <w:szCs w:val="16"/>
              </w:rPr>
            </w:pPr>
            <w:r>
              <w:rPr>
                <w:sz w:val="16"/>
                <w:szCs w:val="16"/>
              </w:rPr>
              <w:t xml:space="preserve">Onboarding e incorporación</w:t>
            </w:r>
          </w:p>
        </w:tc>
        <w:tc>
          <w:tcPr>
            <w:tcW w:w="640" w:type="dxa"/>
            <w:vAlign w:val="center"/>
          </w:tcPr>
          <w:p>
            <w:pPr>
              <w:spacing w:before="20" w:after="20" w:line="240" w:lineRule="auto"/>
              <w:jc w:val="center"/>
              <w:rPr>
                <w:sz w:val="16"/>
                <w:szCs w:val="16"/>
              </w:rPr>
            </w:pPr>
            <w:r>
              <w:rPr>
                <w:sz w:val="16"/>
                <w:szCs w:val="16"/>
              </w:rPr>
              <w:t xml:space="preserve">2</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6</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8</w:t>
            </w:r>
          </w:p>
        </w:tc>
      </w:tr>
      <w:tr>
        <w:tc>
          <w:tcPr>
            <w:tcW w:w="560" w:type="dxa"/>
            <w:vAlign w:val="center"/>
          </w:tcPr>
          <w:p>
            <w:pPr>
              <w:spacing w:before="20" w:after="20" w:line="240" w:lineRule="auto"/>
              <w:jc w:val="center"/>
              <w:rPr>
                <w:sz w:val="16"/>
                <w:szCs w:val="16"/>
              </w:rPr>
            </w:pPr>
            <w:r>
              <w:rPr>
                <w:sz w:val="16"/>
                <w:szCs w:val="16"/>
              </w:rPr>
              <w:t xml:space="preserve">F11</w:t>
            </w:r>
          </w:p>
        </w:tc>
        <w:tc>
          <w:tcPr>
            <w:tcW w:w="3600" w:type="dxa"/>
            <w:vAlign w:val="center"/>
          </w:tcPr>
          <w:p>
            <w:pPr>
              <w:spacing w:before="20" w:after="20" w:line="240" w:lineRule="auto"/>
              <w:jc w:val="left"/>
              <w:rPr>
                <w:sz w:val="16"/>
                <w:szCs w:val="16"/>
              </w:rPr>
            </w:pPr>
            <w:r>
              <w:rPr>
                <w:sz w:val="16"/>
                <w:szCs w:val="16"/>
              </w:rPr>
              <w:t xml:space="preserve">Formación y habilitación</w:t>
            </w:r>
          </w:p>
        </w:tc>
        <w:tc>
          <w:tcPr>
            <w:tcW w:w="640" w:type="dxa"/>
            <w:vAlign w:val="center"/>
          </w:tcPr>
          <w:p>
            <w:pPr>
              <w:spacing w:before="20" w:after="20" w:line="240" w:lineRule="auto"/>
              <w:jc w:val="center"/>
              <w:rPr>
                <w:sz w:val="16"/>
                <w:szCs w:val="16"/>
              </w:rPr>
            </w:pPr>
            <w:r>
              <w:rPr>
                <w:sz w:val="16"/>
                <w:szCs w:val="16"/>
              </w:rPr>
              <w:t xml:space="preserve">19</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20</w:t>
            </w:r>
          </w:p>
        </w:tc>
      </w:tr>
      <w:tr>
        <w:tc>
          <w:tcPr>
            <w:tcW w:w="560" w:type="dxa"/>
            <w:vAlign w:val="center"/>
          </w:tcPr>
          <w:p>
            <w:pPr>
              <w:spacing w:before="20" w:after="20" w:line="240" w:lineRule="auto"/>
              <w:jc w:val="center"/>
              <w:rPr>
                <w:sz w:val="16"/>
                <w:szCs w:val="16"/>
              </w:rPr>
            </w:pPr>
            <w:r>
              <w:rPr>
                <w:sz w:val="16"/>
                <w:szCs w:val="16"/>
              </w:rPr>
              <w:t xml:space="preserve">F12</w:t>
            </w:r>
          </w:p>
        </w:tc>
        <w:tc>
          <w:tcPr>
            <w:tcW w:w="3600" w:type="dxa"/>
            <w:vAlign w:val="center"/>
          </w:tcPr>
          <w:p>
            <w:pPr>
              <w:spacing w:before="20" w:after="20" w:line="240" w:lineRule="auto"/>
              <w:jc w:val="left"/>
              <w:rPr>
                <w:sz w:val="16"/>
                <w:szCs w:val="16"/>
              </w:rPr>
            </w:pPr>
            <w:r>
              <w:rPr>
                <w:sz w:val="16"/>
                <w:szCs w:val="16"/>
              </w:rPr>
              <w:t xml:space="preserve">Gestión del desempeño, ciclo anual</w:t>
            </w:r>
          </w:p>
        </w:tc>
        <w:tc>
          <w:tcPr>
            <w:tcW w:w="640" w:type="dxa"/>
            <w:vAlign w:val="center"/>
          </w:tcPr>
          <w:p>
            <w:pPr>
              <w:spacing w:before="20" w:after="20" w:line="240" w:lineRule="auto"/>
              <w:jc w:val="center"/>
              <w:rPr>
                <w:sz w:val="16"/>
                <w:szCs w:val="16"/>
              </w:rPr>
            </w:pPr>
            <w:r>
              <w:rPr>
                <w:sz w:val="16"/>
                <w:szCs w:val="16"/>
              </w:rPr>
              <w:t xml:space="preserve">19</w:t>
            </w:r>
          </w:p>
        </w:tc>
        <w:tc>
          <w:tcPr>
            <w:tcW w:w="700" w:type="dxa"/>
            <w:vAlign w:val="center"/>
          </w:tcPr>
          <w:p>
            <w:pPr>
              <w:spacing w:before="20" w:after="20" w:line="240" w:lineRule="auto"/>
              <w:jc w:val="center"/>
              <w:rPr>
                <w:sz w:val="16"/>
                <w:szCs w:val="16"/>
              </w:rPr>
            </w:pPr>
            <w:r>
              <w:rPr>
                <w:sz w:val="16"/>
                <w:szCs w:val="16"/>
              </w:rPr>
              <w:t xml:space="preserve">11</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31</w:t>
            </w:r>
          </w:p>
        </w:tc>
      </w:tr>
      <w:tr>
        <w:tc>
          <w:tcPr>
            <w:tcW w:w="560" w:type="dxa"/>
            <w:vAlign w:val="center"/>
          </w:tcPr>
          <w:p>
            <w:pPr>
              <w:spacing w:before="20" w:after="20" w:line="240" w:lineRule="auto"/>
              <w:jc w:val="center"/>
              <w:rPr>
                <w:sz w:val="16"/>
                <w:szCs w:val="16"/>
              </w:rPr>
            </w:pPr>
            <w:r>
              <w:rPr>
                <w:sz w:val="16"/>
                <w:szCs w:val="16"/>
              </w:rPr>
              <w:t xml:space="preserve">F13</w:t>
            </w:r>
          </w:p>
        </w:tc>
        <w:tc>
          <w:tcPr>
            <w:tcW w:w="3600" w:type="dxa"/>
            <w:vAlign w:val="center"/>
          </w:tcPr>
          <w:p>
            <w:pPr>
              <w:spacing w:before="20" w:after="20" w:line="240" w:lineRule="auto"/>
              <w:jc w:val="left"/>
              <w:rPr>
                <w:sz w:val="16"/>
                <w:szCs w:val="16"/>
              </w:rPr>
            </w:pPr>
            <w:r>
              <w:rPr>
                <w:sz w:val="16"/>
                <w:szCs w:val="16"/>
              </w:rPr>
              <w:t xml:space="preserve">Carrera, sucesión y movilidad</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9</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10</w:t>
            </w:r>
          </w:p>
        </w:tc>
      </w:tr>
      <w:tr>
        <w:tc>
          <w:tcPr>
            <w:tcW w:w="560" w:type="dxa"/>
            <w:vAlign w:val="center"/>
          </w:tcPr>
          <w:p>
            <w:pPr>
              <w:spacing w:before="20" w:after="20" w:line="240" w:lineRule="auto"/>
              <w:jc w:val="center"/>
              <w:rPr>
                <w:sz w:val="16"/>
                <w:szCs w:val="16"/>
              </w:rPr>
            </w:pPr>
            <w:r>
              <w:rPr>
                <w:sz w:val="16"/>
                <w:szCs w:val="16"/>
              </w:rPr>
              <w:t xml:space="preserve">F14</w:t>
            </w:r>
          </w:p>
        </w:tc>
        <w:tc>
          <w:tcPr>
            <w:tcW w:w="3600" w:type="dxa"/>
            <w:vAlign w:val="center"/>
          </w:tcPr>
          <w:p>
            <w:pPr>
              <w:spacing w:before="20" w:after="20" w:line="240" w:lineRule="auto"/>
              <w:jc w:val="left"/>
              <w:rPr>
                <w:sz w:val="16"/>
                <w:szCs w:val="16"/>
              </w:rPr>
            </w:pPr>
            <w:r>
              <w:rPr>
                <w:sz w:val="16"/>
                <w:szCs w:val="16"/>
              </w:rPr>
              <w:t xml:space="preserve">Revisión de renta y beneficios</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22</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2</w:t>
            </w:r>
          </w:p>
        </w:tc>
        <w:tc>
          <w:tcPr>
            <w:tcW w:w="700" w:type="dxa"/>
            <w:vAlign w:val="center"/>
          </w:tcPr>
          <w:p>
            <w:pPr>
              <w:spacing w:before="20" w:after="20" w:line="240" w:lineRule="auto"/>
              <w:jc w:val="center"/>
              <w:rPr>
                <w:sz w:val="16"/>
                <w:szCs w:val="16"/>
              </w:rPr>
            </w:pPr>
            <w:r>
              <w:rPr>
                <w:sz w:val="16"/>
                <w:szCs w:val="16"/>
              </w:rPr>
              <w:t xml:space="preserve">24</w:t>
            </w:r>
          </w:p>
        </w:tc>
      </w:tr>
      <w:tr>
        <w:tc>
          <w:tcPr>
            <w:tcW w:w="560" w:type="dxa"/>
            <w:vAlign w:val="center"/>
          </w:tcPr>
          <w:p>
            <w:pPr>
              <w:spacing w:before="20" w:after="20" w:line="240" w:lineRule="auto"/>
              <w:jc w:val="center"/>
              <w:rPr>
                <w:sz w:val="16"/>
                <w:szCs w:val="16"/>
              </w:rPr>
            </w:pPr>
            <w:r>
              <w:rPr>
                <w:sz w:val="16"/>
                <w:szCs w:val="16"/>
              </w:rPr>
              <w:t xml:space="preserve">F15</w:t>
            </w:r>
          </w:p>
        </w:tc>
        <w:tc>
          <w:tcPr>
            <w:tcW w:w="3600" w:type="dxa"/>
            <w:vAlign w:val="center"/>
          </w:tcPr>
          <w:p>
            <w:pPr>
              <w:spacing w:before="20" w:after="20" w:line="240" w:lineRule="auto"/>
              <w:jc w:val="left"/>
              <w:rPr>
                <w:sz w:val="16"/>
                <w:szCs w:val="16"/>
              </w:rPr>
            </w:pPr>
            <w:r>
              <w:rPr>
                <w:sz w:val="16"/>
                <w:szCs w:val="16"/>
              </w:rPr>
              <w:t xml:space="preserve">Administración de nómina</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2</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2</w:t>
            </w:r>
          </w:p>
        </w:tc>
      </w:tr>
      <w:tr>
        <w:tc>
          <w:tcPr>
            <w:tcW w:w="560" w:type="dxa"/>
            <w:vAlign w:val="center"/>
          </w:tcPr>
          <w:p>
            <w:pPr>
              <w:spacing w:before="20" w:after="20" w:line="240" w:lineRule="auto"/>
              <w:jc w:val="center"/>
              <w:rPr>
                <w:sz w:val="16"/>
                <w:szCs w:val="16"/>
              </w:rPr>
            </w:pPr>
            <w:r>
              <w:rPr>
                <w:sz w:val="16"/>
                <w:szCs w:val="16"/>
              </w:rPr>
              <w:t xml:space="preserve">F16</w:t>
            </w:r>
          </w:p>
        </w:tc>
        <w:tc>
          <w:tcPr>
            <w:tcW w:w="3600" w:type="dxa"/>
            <w:vAlign w:val="center"/>
          </w:tcPr>
          <w:p>
            <w:pPr>
              <w:spacing w:before="20" w:after="20" w:line="240" w:lineRule="auto"/>
              <w:jc w:val="left"/>
              <w:rPr>
                <w:sz w:val="16"/>
                <w:szCs w:val="16"/>
              </w:rPr>
            </w:pPr>
            <w:r>
              <w:rPr>
                <w:sz w:val="16"/>
                <w:szCs w:val="16"/>
              </w:rPr>
              <w:t xml:space="preserve">Clima, asistencia y retención</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12</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12</w:t>
            </w:r>
          </w:p>
        </w:tc>
      </w:tr>
      <w:tr>
        <w:tc>
          <w:tcPr>
            <w:tcW w:w="560" w:type="dxa"/>
            <w:vAlign w:val="center"/>
          </w:tcPr>
          <w:p>
            <w:pPr>
              <w:spacing w:before="20" w:after="20" w:line="240" w:lineRule="auto"/>
              <w:jc w:val="center"/>
              <w:rPr>
                <w:sz w:val="16"/>
                <w:szCs w:val="16"/>
              </w:rPr>
            </w:pPr>
            <w:r>
              <w:rPr>
                <w:sz w:val="16"/>
                <w:szCs w:val="16"/>
              </w:rPr>
              <w:t xml:space="preserve">F17</w:t>
            </w:r>
          </w:p>
        </w:tc>
        <w:tc>
          <w:tcPr>
            <w:tcW w:w="3600" w:type="dxa"/>
            <w:vAlign w:val="center"/>
          </w:tcPr>
          <w:p>
            <w:pPr>
              <w:spacing w:before="20" w:after="20" w:line="240" w:lineRule="auto"/>
              <w:jc w:val="left"/>
              <w:rPr>
                <w:sz w:val="16"/>
                <w:szCs w:val="16"/>
              </w:rPr>
            </w:pPr>
            <w:r>
              <w:rPr>
                <w:sz w:val="16"/>
                <w:szCs w:val="16"/>
              </w:rPr>
              <w:t xml:space="preserve">Desvinculación y salida</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1</w:t>
            </w:r>
          </w:p>
        </w:tc>
        <w:tc>
          <w:tcPr>
            <w:tcW w:w="800" w:type="dxa"/>
            <w:vAlign w:val="center"/>
          </w:tcPr>
          <w:p>
            <w:pPr>
              <w:spacing w:before="20" w:after="20" w:line="240" w:lineRule="auto"/>
              <w:jc w:val="center"/>
              <w:rPr>
                <w:sz w:val="16"/>
                <w:szCs w:val="16"/>
              </w:rPr>
            </w:pPr>
            <w:r>
              <w:rPr>
                <w:sz w:val="16"/>
                <w:szCs w:val="16"/>
              </w:rPr>
              <w:t xml:space="preserve">8</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11</w:t>
            </w:r>
          </w:p>
        </w:tc>
      </w:tr>
      <w:tr>
        <w:tc>
          <w:tcPr>
            <w:tcW w:w="560" w:type="dxa"/>
            <w:vAlign w:val="center"/>
          </w:tcPr>
          <w:p>
            <w:pPr>
              <w:spacing w:before="20" w:after="20" w:line="240" w:lineRule="auto"/>
              <w:jc w:val="center"/>
              <w:rPr>
                <w:sz w:val="16"/>
                <w:szCs w:val="16"/>
              </w:rPr>
            </w:pPr>
            <w:r>
              <w:rPr>
                <w:sz w:val="16"/>
                <w:szCs w:val="16"/>
              </w:rPr>
              <w:t xml:space="preserve">F18</w:t>
            </w:r>
          </w:p>
        </w:tc>
        <w:tc>
          <w:tcPr>
            <w:tcW w:w="3600" w:type="dxa"/>
            <w:vAlign w:val="center"/>
          </w:tcPr>
          <w:p>
            <w:pPr>
              <w:spacing w:before="20" w:after="20" w:line="240" w:lineRule="auto"/>
              <w:jc w:val="left"/>
              <w:rPr>
                <w:sz w:val="16"/>
                <w:szCs w:val="16"/>
              </w:rPr>
            </w:pPr>
            <w:r>
              <w:rPr>
                <w:sz w:val="16"/>
                <w:szCs w:val="16"/>
              </w:rPr>
              <w:t xml:space="preserve">Backbone de datos y gobernanza</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3</w:t>
            </w:r>
          </w:p>
        </w:tc>
        <w:tc>
          <w:tcPr>
            <w:tcW w:w="700" w:type="dxa"/>
            <w:vAlign w:val="center"/>
          </w:tcPr>
          <w:p>
            <w:pPr>
              <w:spacing w:before="20" w:after="20" w:line="240" w:lineRule="auto"/>
              <w:jc w:val="center"/>
              <w:rPr>
                <w:sz w:val="16"/>
                <w:szCs w:val="16"/>
              </w:rPr>
            </w:pPr>
            <w:r>
              <w:rPr>
                <w:sz w:val="16"/>
                <w:szCs w:val="16"/>
              </w:rPr>
              <w:t xml:space="preserve">14</w:t>
            </w:r>
          </w:p>
        </w:tc>
        <w:tc>
          <w:tcPr>
            <w:tcW w:w="800" w:type="dxa"/>
            <w:vAlign w:val="center"/>
          </w:tcPr>
          <w:p>
            <w:pPr>
              <w:spacing w:before="20" w:after="20" w:line="240" w:lineRule="auto"/>
              <w:jc w:val="center"/>
              <w:rPr>
                <w:sz w:val="16"/>
                <w:szCs w:val="16"/>
              </w:rPr>
            </w:pPr>
            <w:r>
              <w:rPr>
                <w:sz w:val="16"/>
                <w:szCs w:val="16"/>
              </w:rPr>
              <w:t xml:space="preserve">2</w:t>
            </w:r>
          </w:p>
        </w:tc>
        <w:tc>
          <w:tcPr>
            <w:tcW w:w="640" w:type="dxa"/>
            <w:vAlign w:val="center"/>
          </w:tcPr>
          <w:p>
            <w:pPr>
              <w:spacing w:before="20" w:after="20" w:line="240" w:lineRule="auto"/>
              <w:jc w:val="center"/>
              <w:rPr>
                <w:sz w:val="16"/>
                <w:szCs w:val="16"/>
              </w:rPr>
            </w:pPr>
            <w:r>
              <w:rPr>
                <w:sz w:val="16"/>
                <w:szCs w:val="16"/>
              </w:rPr>
              <w:t xml:space="preserve">2</w:t>
            </w:r>
          </w:p>
        </w:tc>
        <w:tc>
          <w:tcPr>
            <w:tcW w:w="700" w:type="dxa"/>
            <w:vAlign w:val="center"/>
          </w:tcPr>
          <w:p>
            <w:pPr>
              <w:spacing w:before="20" w:after="20" w:line="240" w:lineRule="auto"/>
              <w:jc w:val="center"/>
              <w:rPr>
                <w:sz w:val="16"/>
                <w:szCs w:val="16"/>
              </w:rPr>
            </w:pPr>
            <w:r>
              <w:rPr>
                <w:sz w:val="16"/>
                <w:szCs w:val="16"/>
              </w:rPr>
              <w:t xml:space="preserve">21</w:t>
            </w:r>
          </w:p>
        </w:tc>
      </w:tr>
      <w:tr>
        <w:tc>
          <w:tcPr>
            <w:tcW w:w="560" w:type="dxa"/>
            <w:vAlign w:val="center"/>
          </w:tcPr>
          <w:p>
            <w:pPr>
              <w:spacing w:before="20" w:after="20" w:line="240" w:lineRule="auto"/>
              <w:jc w:val="center"/>
              <w:rPr>
                <w:sz w:val="16"/>
                <w:szCs w:val="16"/>
              </w:rPr>
            </w:pPr>
            <w:r>
              <w:rPr>
                <w:sz w:val="16"/>
                <w:szCs w:val="16"/>
              </w:rPr>
              <w:t xml:space="preserve">—</w:t>
            </w:r>
          </w:p>
        </w:tc>
        <w:tc>
          <w:tcPr>
            <w:tcW w:w="3600" w:type="dxa"/>
            <w:vAlign w:val="center"/>
          </w:tcPr>
          <w:p>
            <w:pPr>
              <w:spacing w:before="20" w:after="20" w:line="240" w:lineRule="auto"/>
              <w:jc w:val="left"/>
              <w:rPr>
                <w:sz w:val="16"/>
                <w:szCs w:val="16"/>
              </w:rPr>
            </w:pPr>
            <w:r>
              <w:rPr>
                <w:sz w:val="16"/>
                <w:szCs w:val="16"/>
              </w:rPr>
              <w:t xml:space="preserve">Proveedores iniciales y clientes finales</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11</w:t>
            </w:r>
          </w:p>
        </w:tc>
        <w:tc>
          <w:tcPr>
            <w:tcW w:w="700" w:type="dxa"/>
            <w:vAlign w:val="center"/>
          </w:tcPr>
          <w:p>
            <w:pPr>
              <w:spacing w:before="20" w:after="20" w:line="240" w:lineRule="auto"/>
              <w:jc w:val="center"/>
              <w:rPr>
                <w:sz w:val="16"/>
                <w:szCs w:val="16"/>
              </w:rPr>
            </w:pPr>
            <w:r>
              <w:rPr>
                <w:sz w:val="16"/>
                <w:szCs w:val="16"/>
              </w:rPr>
              <w:t xml:space="preserve">11</w:t>
            </w:r>
          </w:p>
        </w:tc>
      </w:tr>
      <w:tr>
        <w:tc>
          <w:tcPr>
            <w:tcW w:w="560" w:type="dxa"/>
            <w:vAlign w:val="center"/>
          </w:tcPr>
          <w:p>
            <w:pPr>
              <w:spacing w:before="20" w:after="20" w:line="240" w:lineRule="auto"/>
              <w:jc w:val="center"/>
              <w:rPr>
                <w:sz w:val="16"/>
                <w:szCs w:val="16"/>
              </w:rPr>
            </w:pPr>
          </w:p>
        </w:tc>
        <w:tc>
          <w:tcPr>
            <w:tcW w:w="3600" w:type="dxa"/>
            <w:vAlign w:val="center"/>
          </w:tcPr>
          <w:p>
            <w:pPr>
              <w:spacing w:before="20" w:after="20" w:line="240" w:lineRule="auto"/>
              <w:jc w:val="left"/>
              <w:rPr>
                <w:sz w:val="16"/>
                <w:szCs w:val="16"/>
              </w:rPr>
            </w:pPr>
            <w:r>
              <w:rPr>
                <w:sz w:val="16"/>
                <w:szCs w:val="16"/>
              </w:rPr>
              <w:t xml:space="preserve">Total</w:t>
            </w:r>
          </w:p>
        </w:tc>
        <w:tc>
          <w:tcPr>
            <w:tcW w:w="640" w:type="dxa"/>
            <w:vAlign w:val="center"/>
          </w:tcPr>
          <w:p>
            <w:pPr>
              <w:spacing w:before="20" w:after="20" w:line="240" w:lineRule="auto"/>
              <w:jc w:val="center"/>
              <w:rPr>
                <w:sz w:val="16"/>
                <w:szCs w:val="16"/>
              </w:rPr>
            </w:pPr>
            <w:r>
              <w:rPr>
                <w:sz w:val="16"/>
                <w:szCs w:val="16"/>
              </w:rPr>
              <w:t xml:space="preserve">94</w:t>
            </w:r>
          </w:p>
        </w:tc>
        <w:tc>
          <w:tcPr>
            <w:tcW w:w="700" w:type="dxa"/>
            <w:vAlign w:val="center"/>
          </w:tcPr>
          <w:p>
            <w:pPr>
              <w:spacing w:before="20" w:after="20" w:line="240" w:lineRule="auto"/>
              <w:jc w:val="center"/>
              <w:rPr>
                <w:sz w:val="16"/>
                <w:szCs w:val="16"/>
              </w:rPr>
            </w:pPr>
            <w:r>
              <w:rPr>
                <w:sz w:val="16"/>
                <w:szCs w:val="16"/>
              </w:rPr>
              <w:t xml:space="preserve">36</w:t>
            </w:r>
          </w:p>
        </w:tc>
        <w:tc>
          <w:tcPr>
            <w:tcW w:w="700" w:type="dxa"/>
            <w:vAlign w:val="center"/>
          </w:tcPr>
          <w:p>
            <w:pPr>
              <w:spacing w:before="20" w:after="20" w:line="240" w:lineRule="auto"/>
              <w:jc w:val="center"/>
              <w:rPr>
                <w:sz w:val="16"/>
                <w:szCs w:val="16"/>
              </w:rPr>
            </w:pPr>
            <w:r>
              <w:rPr>
                <w:sz w:val="16"/>
                <w:szCs w:val="16"/>
              </w:rPr>
              <w:t xml:space="preserve">92</w:t>
            </w:r>
          </w:p>
        </w:tc>
        <w:tc>
          <w:tcPr>
            <w:tcW w:w="800" w:type="dxa"/>
            <w:vAlign w:val="center"/>
          </w:tcPr>
          <w:p>
            <w:pPr>
              <w:spacing w:before="20" w:after="20" w:line="240" w:lineRule="auto"/>
              <w:jc w:val="center"/>
              <w:rPr>
                <w:sz w:val="16"/>
                <w:szCs w:val="16"/>
              </w:rPr>
            </w:pPr>
            <w:r>
              <w:rPr>
                <w:sz w:val="16"/>
                <w:szCs w:val="16"/>
              </w:rPr>
              <w:t xml:space="preserve">12</w:t>
            </w:r>
          </w:p>
        </w:tc>
        <w:tc>
          <w:tcPr>
            <w:tcW w:w="640" w:type="dxa"/>
            <w:vAlign w:val="center"/>
          </w:tcPr>
          <w:p>
            <w:pPr>
              <w:spacing w:before="20" w:after="20" w:line="240" w:lineRule="auto"/>
              <w:jc w:val="center"/>
              <w:rPr>
                <w:sz w:val="16"/>
                <w:szCs w:val="16"/>
              </w:rPr>
            </w:pPr>
            <w:r>
              <w:rPr>
                <w:sz w:val="16"/>
                <w:szCs w:val="16"/>
              </w:rPr>
              <w:t xml:space="preserve">27</w:t>
            </w:r>
          </w:p>
        </w:tc>
        <w:tc>
          <w:tcPr>
            <w:tcW w:w="700" w:type="dxa"/>
            <w:vAlign w:val="center"/>
          </w:tcPr>
          <w:p>
            <w:pPr>
              <w:spacing w:before="20" w:after="20" w:line="240" w:lineRule="auto"/>
              <w:jc w:val="center"/>
              <w:rPr>
                <w:sz w:val="16"/>
                <w:szCs w:val="16"/>
              </w:rPr>
            </w:pPr>
            <w:r>
              <w:rPr>
                <w:sz w:val="16"/>
                <w:szCs w:val="16"/>
              </w:rPr>
              <w:t xml:space="preserve">261</w:t>
            </w:r>
          </w:p>
        </w:tc>
      </w:tr>
    </w:tbl>
    <w:p>
      <w:pPr>
        <w:pStyle w:val="Fuente"/>
      </w:pPr>
      <w:r>
        <w:t xml:space="preserve">Fuente: Elaboración propia. Doc. corresponde a pasos respaldados en procedimiento vigente; Entr. a pasos levantados en entrevista; Prop. a pasos propuestos desde insumo interno o marco de referencia; Aux. a elementos auxiliares de la notación.</w:t>
      </w:r>
    </w:p>
    <w:p>
      <w:r>
        <w:t xml:space="preserve">El diagrama del flujo único de MP8 y la selección de fichas de proceso se incorporarán al anexo reservado o se referenciarán mediante el repositorio de trabajo, según la autorización de la compañía.</w:t>
      </w:r>
    </w:p>
    <w:p>
      <w:pPr>
        <w:pStyle w:val="Heading3"/>
      </w:pPr>
      <w:r>
        <w:t xml:space="preserve">3.2.3. Brechas de levantamiento declaradas</w:t>
      </w:r>
    </w:p>
    <w:p>
      <w:r>
        <w:t xml:space="preserve">La regla de trazabilidad descrita en el apartado 2.3.1 obliga a declarar como brecha todo elemento que se identifica como necesario pero cuyo contenido no puede describirse con las fuentes disponibles. La aplicación de esta regla arrojó 12 brechas, equivalentes al 5,1 % de los 234 pasos del flujo. Su detalle se presenta en la Tabla 7.</w:t>
      </w:r>
    </w:p>
    <w:p>
      <w:pPr>
        <w:pStyle w:val="Caption"/>
        <w:keepNext/>
      </w:pPr>
      <w:r>
        <w:rPr>
          <w:b/>
        </w:rPr>
        <w:t xml:space="preserve">Tabla </w:t>
      </w:r>
      <w:fldSimple w:dirty="true" w:instr=" SEQ Tabla \* ARABIC ">
        <w:r>
          <w:t xml:space="preserve">1</w:t>
        </w:r>
      </w:fldSimple>
      <w:r>
        <w:rPr>
          <w:b/>
        </w:rPr>
        <w:t xml:space="preserve">. </w:t>
      </w:r>
      <w:r>
        <w:t xml:space="preserve">Brechas de levantamiento declaradas en MP8.</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100"/>
        <w:gridCol w:w="4000"/>
        <w:gridCol w:w="620"/>
        <w:gridCol w:w="3400"/>
      </w:tblGrid>
      <w:tr>
        <w:trPr>
          <w:tblHeader/>
        </w:trPr>
        <w:tc>
          <w:tcPr>
            <w:tcW w:w="1100" w:type="dxa"/>
            <w:shd w:val="clear" w:color="auto" w:fill="D9D9D9"/>
            <w:vAlign w:val="center"/>
          </w:tcPr>
          <w:p>
            <w:pPr>
              <w:spacing w:before="20" w:after="20" w:line="240" w:lineRule="auto"/>
              <w:jc w:val="center"/>
              <w:rPr>
                <w:sz w:val="17"/>
                <w:szCs w:val="17"/>
              </w:rPr>
            </w:pPr>
            <w:r>
              <w:rPr>
                <w:b/>
                <w:sz w:val="17"/>
                <w:szCs w:val="17"/>
              </w:rPr>
              <w:t xml:space="preserve">Código APQC</w:t>
            </w:r>
          </w:p>
        </w:tc>
        <w:tc>
          <w:tcPr>
            <w:tcW w:w="4000" w:type="dxa"/>
            <w:shd w:val="clear" w:color="auto" w:fill="D9D9D9"/>
            <w:vAlign w:val="center"/>
          </w:tcPr>
          <w:p>
            <w:pPr>
              <w:spacing w:before="20" w:after="20" w:line="240" w:lineRule="auto"/>
              <w:jc w:val="center"/>
              <w:rPr>
                <w:sz w:val="17"/>
                <w:szCs w:val="17"/>
              </w:rPr>
            </w:pPr>
            <w:r>
              <w:rPr>
                <w:b/>
                <w:sz w:val="17"/>
                <w:szCs w:val="17"/>
              </w:rPr>
              <w:t xml:space="preserve">Actividad</w:t>
            </w:r>
          </w:p>
        </w:tc>
        <w:tc>
          <w:tcPr>
            <w:tcW w:w="620" w:type="dxa"/>
            <w:shd w:val="clear" w:color="auto" w:fill="D9D9D9"/>
            <w:vAlign w:val="center"/>
          </w:tcPr>
          <w:p>
            <w:pPr>
              <w:spacing w:before="20" w:after="20" w:line="240" w:lineRule="auto"/>
              <w:jc w:val="center"/>
              <w:rPr>
                <w:sz w:val="17"/>
                <w:szCs w:val="17"/>
              </w:rPr>
            </w:pPr>
            <w:r>
              <w:rPr>
                <w:b/>
                <w:sz w:val="17"/>
                <w:szCs w:val="17"/>
              </w:rPr>
              <w:t xml:space="preserve">Fase</w:t>
            </w:r>
          </w:p>
        </w:tc>
        <w:tc>
          <w:tcPr>
            <w:tcW w:w="3400" w:type="dxa"/>
            <w:shd w:val="clear" w:color="auto" w:fill="D9D9D9"/>
            <w:vAlign w:val="center"/>
          </w:tcPr>
          <w:p>
            <w:pPr>
              <w:spacing w:before="20" w:after="20" w:line="240" w:lineRule="auto"/>
              <w:jc w:val="center"/>
              <w:rPr>
                <w:sz w:val="17"/>
                <w:szCs w:val="17"/>
              </w:rPr>
            </w:pPr>
            <w:r>
              <w:rPr>
                <w:b/>
                <w:sz w:val="17"/>
                <w:szCs w:val="17"/>
              </w:rPr>
              <w:t xml:space="preserve">Rol con quien se cierra</w:t>
            </w:r>
          </w:p>
        </w:tc>
      </w:tr>
      <w:tr>
        <w:tc>
          <w:tcPr>
            <w:tcW w:w="1100" w:type="dxa"/>
            <w:vAlign w:val="center"/>
          </w:tcPr>
          <w:p>
            <w:pPr>
              <w:spacing w:before="20" w:after="20" w:line="240" w:lineRule="auto"/>
              <w:jc w:val="center"/>
              <w:rPr>
                <w:sz w:val="17"/>
                <w:szCs w:val="17"/>
              </w:rPr>
            </w:pPr>
            <w:r>
              <w:rPr>
                <w:sz w:val="17"/>
                <w:szCs w:val="17"/>
              </w:rPr>
              <w:t xml:space="preserve">7.5.4</w:t>
            </w:r>
          </w:p>
        </w:tc>
        <w:tc>
          <w:tcPr>
            <w:tcW w:w="4000" w:type="dxa"/>
            <w:vAlign w:val="center"/>
          </w:tcPr>
          <w:p>
            <w:pPr>
              <w:spacing w:before="20" w:after="20" w:line="240" w:lineRule="auto"/>
              <w:jc w:val="left"/>
              <w:rPr>
                <w:sz w:val="17"/>
                <w:szCs w:val="17"/>
              </w:rPr>
            </w:pPr>
            <w:r>
              <w:rPr>
                <w:sz w:val="17"/>
                <w:szCs w:val="17"/>
              </w:rPr>
              <w:t xml:space="preserve">Administrar la nómina</w:t>
            </w:r>
          </w:p>
        </w:tc>
        <w:tc>
          <w:tcPr>
            <w:tcW w:w="620" w:type="dxa"/>
            <w:vAlign w:val="center"/>
          </w:tcPr>
          <w:p>
            <w:pPr>
              <w:spacing w:before="20" w:after="20" w:line="240" w:lineRule="auto"/>
              <w:jc w:val="center"/>
              <w:rPr>
                <w:sz w:val="17"/>
                <w:szCs w:val="17"/>
              </w:rPr>
            </w:pPr>
            <w:r>
              <w:rPr>
                <w:sz w:val="17"/>
                <w:szCs w:val="17"/>
              </w:rPr>
              <w:t xml:space="preserve">F15</w:t>
            </w:r>
          </w:p>
        </w:tc>
        <w:tc>
          <w:tcPr>
            <w:tcW w:w="3400" w:type="dxa"/>
            <w:vAlign w:val="center"/>
          </w:tcPr>
          <w:p>
            <w:pPr>
              <w:spacing w:before="20" w:after="20" w:line="240" w:lineRule="auto"/>
              <w:jc w:val="left"/>
              <w:rPr>
                <w:sz w:val="17"/>
                <w:szCs w:val="17"/>
              </w:rPr>
            </w:pPr>
            <w:r>
              <w:rPr>
                <w:sz w:val="17"/>
                <w:szCs w:val="17"/>
              </w:rPr>
              <w:t xml:space="preserve">Área de remuneraciones</w:t>
            </w:r>
          </w:p>
        </w:tc>
      </w:tr>
      <w:tr>
        <w:tc>
          <w:tcPr>
            <w:tcW w:w="1100" w:type="dxa"/>
            <w:vAlign w:val="center"/>
          </w:tcPr>
          <w:p>
            <w:pPr>
              <w:spacing w:before="20" w:after="20" w:line="240" w:lineRule="auto"/>
              <w:jc w:val="center"/>
              <w:rPr>
                <w:sz w:val="17"/>
                <w:szCs w:val="17"/>
              </w:rPr>
            </w:pPr>
            <w:r>
              <w:rPr>
                <w:sz w:val="17"/>
                <w:szCs w:val="17"/>
              </w:rPr>
              <w:t xml:space="preserve">7.7.6</w:t>
            </w:r>
          </w:p>
        </w:tc>
        <w:tc>
          <w:tcPr>
            <w:tcW w:w="4000" w:type="dxa"/>
            <w:vAlign w:val="center"/>
          </w:tcPr>
          <w:p>
            <w:pPr>
              <w:spacing w:before="20" w:after="20" w:line="240" w:lineRule="auto"/>
              <w:jc w:val="left"/>
              <w:rPr>
                <w:sz w:val="17"/>
                <w:szCs w:val="17"/>
              </w:rPr>
            </w:pPr>
            <w:r>
              <w:rPr>
                <w:sz w:val="17"/>
                <w:szCs w:val="17"/>
              </w:rPr>
              <w:t xml:space="preserve">Desarrollar y administrar sistemas de tiempo y asistencia</w:t>
            </w:r>
          </w:p>
        </w:tc>
        <w:tc>
          <w:tcPr>
            <w:tcW w:w="620" w:type="dxa"/>
            <w:vAlign w:val="center"/>
          </w:tcPr>
          <w:p>
            <w:pPr>
              <w:spacing w:before="20" w:after="20" w:line="240" w:lineRule="auto"/>
              <w:jc w:val="center"/>
              <w:rPr>
                <w:sz w:val="17"/>
                <w:szCs w:val="17"/>
              </w:rPr>
            </w:pPr>
            <w:r>
              <w:rPr>
                <w:sz w:val="17"/>
                <w:szCs w:val="17"/>
              </w:rPr>
              <w:t xml:space="preserve">F15</w:t>
            </w:r>
          </w:p>
        </w:tc>
        <w:tc>
          <w:tcPr>
            <w:tcW w:w="3400" w:type="dxa"/>
            <w:vAlign w:val="center"/>
          </w:tcPr>
          <w:p>
            <w:pPr>
              <w:spacing w:before="20" w:after="20" w:line="240" w:lineRule="auto"/>
              <w:jc w:val="left"/>
              <w:rPr>
                <w:sz w:val="17"/>
                <w:szCs w:val="17"/>
              </w:rPr>
            </w:pPr>
            <w:r>
              <w:rPr>
                <w:sz w:val="17"/>
                <w:szCs w:val="17"/>
              </w:rPr>
              <w:t xml:space="preserve">Especialista en tecnología de compensaciones</w:t>
            </w:r>
          </w:p>
        </w:tc>
      </w:tr>
      <w:tr>
        <w:tc>
          <w:tcPr>
            <w:tcW w:w="1100" w:type="dxa"/>
            <w:vAlign w:val="center"/>
          </w:tcPr>
          <w:p>
            <w:pPr>
              <w:spacing w:before="20" w:after="20" w:line="240" w:lineRule="auto"/>
              <w:jc w:val="center"/>
              <w:rPr>
                <w:sz w:val="17"/>
                <w:szCs w:val="17"/>
              </w:rPr>
            </w:pPr>
            <w:r>
              <w:rPr>
                <w:sz w:val="17"/>
                <w:szCs w:val="17"/>
              </w:rPr>
              <w:t xml:space="preserve">7.6.2</w:t>
            </w:r>
          </w:p>
        </w:tc>
        <w:tc>
          <w:tcPr>
            <w:tcW w:w="4000" w:type="dxa"/>
            <w:vAlign w:val="center"/>
          </w:tcPr>
          <w:p>
            <w:pPr>
              <w:spacing w:before="20" w:after="20" w:line="240" w:lineRule="auto"/>
              <w:jc w:val="left"/>
              <w:rPr>
                <w:sz w:val="17"/>
                <w:szCs w:val="17"/>
              </w:rPr>
            </w:pPr>
            <w:r>
              <w:rPr>
                <w:sz w:val="17"/>
                <w:szCs w:val="17"/>
              </w:rPr>
              <w:t xml:space="preserve">Gestionar la salida por renuncia, despido o término de contrato</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Generalista de Personas y relaciones laborales</w:t>
            </w:r>
          </w:p>
        </w:tc>
      </w:tr>
      <w:tr>
        <w:tc>
          <w:tcPr>
            <w:tcW w:w="1100" w:type="dxa"/>
            <w:vAlign w:val="center"/>
          </w:tcPr>
          <w:p>
            <w:pPr>
              <w:spacing w:before="20" w:after="20" w:line="240" w:lineRule="auto"/>
              <w:jc w:val="center"/>
              <w:rPr>
                <w:sz w:val="17"/>
                <w:szCs w:val="17"/>
              </w:rPr>
            </w:pPr>
            <w:r>
              <w:rPr>
                <w:sz w:val="17"/>
                <w:szCs w:val="17"/>
              </w:rPr>
              <w:t xml:space="preserve">7.6.2.1</w:t>
            </w:r>
          </w:p>
        </w:tc>
        <w:tc>
          <w:tcPr>
            <w:tcW w:w="4000" w:type="dxa"/>
            <w:vAlign w:val="center"/>
          </w:tcPr>
          <w:p>
            <w:pPr>
              <w:spacing w:before="20" w:after="20" w:line="240" w:lineRule="auto"/>
              <w:jc w:val="left"/>
              <w:rPr>
                <w:sz w:val="17"/>
                <w:szCs w:val="17"/>
              </w:rPr>
            </w:pPr>
            <w:r>
              <w:rPr>
                <w:sz w:val="17"/>
                <w:szCs w:val="17"/>
              </w:rPr>
              <w:t xml:space="preserve">Gestionar la jubilación</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Generalista de Personas y relaciones laborales</w:t>
            </w:r>
          </w:p>
        </w:tc>
      </w:tr>
      <w:tr>
        <w:tc>
          <w:tcPr>
            <w:tcW w:w="1100" w:type="dxa"/>
            <w:vAlign w:val="center"/>
          </w:tcPr>
          <w:p>
            <w:pPr>
              <w:spacing w:before="20" w:after="20" w:line="240" w:lineRule="auto"/>
              <w:jc w:val="center"/>
              <w:rPr>
                <w:sz w:val="17"/>
                <w:szCs w:val="17"/>
              </w:rPr>
            </w:pPr>
            <w:r>
              <w:rPr>
                <w:sz w:val="17"/>
                <w:szCs w:val="17"/>
              </w:rPr>
              <w:t xml:space="preserve">7.6.2.2</w:t>
            </w:r>
          </w:p>
        </w:tc>
        <w:tc>
          <w:tcPr>
            <w:tcW w:w="4000" w:type="dxa"/>
            <w:vAlign w:val="center"/>
          </w:tcPr>
          <w:p>
            <w:pPr>
              <w:spacing w:before="20" w:after="20" w:line="240" w:lineRule="auto"/>
              <w:jc w:val="left"/>
              <w:rPr>
                <w:sz w:val="17"/>
                <w:szCs w:val="17"/>
              </w:rPr>
            </w:pPr>
            <w:r>
              <w:rPr>
                <w:sz w:val="17"/>
                <w:szCs w:val="17"/>
              </w:rPr>
              <w:t xml:space="preserve">Gestionar permisos y ausencias prolongadas</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Generalista de Personas y relaciones laborales</w:t>
            </w:r>
          </w:p>
        </w:tc>
      </w:tr>
      <w:tr>
        <w:tc>
          <w:tcPr>
            <w:tcW w:w="1100" w:type="dxa"/>
            <w:vAlign w:val="center"/>
          </w:tcPr>
          <w:p>
            <w:pPr>
              <w:spacing w:before="20" w:after="20" w:line="240" w:lineRule="auto"/>
              <w:jc w:val="center"/>
              <w:rPr>
                <w:sz w:val="17"/>
                <w:szCs w:val="17"/>
              </w:rPr>
            </w:pPr>
            <w:r>
              <w:rPr>
                <w:sz w:val="17"/>
                <w:szCs w:val="17"/>
              </w:rPr>
              <w:t xml:space="preserve">7.6.2.3</w:t>
            </w:r>
          </w:p>
        </w:tc>
        <w:tc>
          <w:tcPr>
            <w:tcW w:w="4000" w:type="dxa"/>
            <w:vAlign w:val="center"/>
          </w:tcPr>
          <w:p>
            <w:pPr>
              <w:spacing w:before="20" w:after="20" w:line="240" w:lineRule="auto"/>
              <w:jc w:val="left"/>
              <w:rPr>
                <w:sz w:val="17"/>
                <w:szCs w:val="17"/>
              </w:rPr>
            </w:pPr>
            <w:r>
              <w:rPr>
                <w:sz w:val="17"/>
                <w:szCs w:val="17"/>
              </w:rPr>
              <w:t xml:space="preserve">Ejecutar el offboarding, con devolución de activos, elementos de protección personal, credenciales y accesos</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Generalista de Personas, prevención de riesgos y tecnología</w:t>
            </w:r>
          </w:p>
        </w:tc>
      </w:tr>
      <w:tr>
        <w:tc>
          <w:tcPr>
            <w:tcW w:w="1100" w:type="dxa"/>
            <w:vAlign w:val="center"/>
          </w:tcPr>
          <w:p>
            <w:pPr>
              <w:spacing w:before="20" w:after="20" w:line="240" w:lineRule="auto"/>
              <w:jc w:val="center"/>
              <w:rPr>
                <w:sz w:val="17"/>
                <w:szCs w:val="17"/>
              </w:rPr>
            </w:pPr>
            <w:r>
              <w:rPr>
                <w:sz w:val="17"/>
                <w:szCs w:val="17"/>
              </w:rPr>
              <w:t xml:space="preserve">7.6.2.4</w:t>
            </w:r>
          </w:p>
        </w:tc>
        <w:tc>
          <w:tcPr>
            <w:tcW w:w="4000" w:type="dxa"/>
            <w:vAlign w:val="center"/>
          </w:tcPr>
          <w:p>
            <w:pPr>
              <w:spacing w:before="20" w:after="20" w:line="240" w:lineRule="auto"/>
              <w:jc w:val="left"/>
              <w:rPr>
                <w:sz w:val="17"/>
                <w:szCs w:val="17"/>
              </w:rPr>
            </w:pPr>
            <w:r>
              <w:rPr>
                <w:sz w:val="17"/>
                <w:szCs w:val="17"/>
              </w:rPr>
              <w:t xml:space="preserve">Gestionar el apoyo a la transición laboral</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Gerencia de Personas</w:t>
            </w:r>
          </w:p>
        </w:tc>
      </w:tr>
      <w:tr>
        <w:tc>
          <w:tcPr>
            <w:tcW w:w="1100" w:type="dxa"/>
            <w:vAlign w:val="center"/>
          </w:tcPr>
          <w:p>
            <w:pPr>
              <w:spacing w:before="20" w:after="20" w:line="240" w:lineRule="auto"/>
              <w:jc w:val="center"/>
              <w:rPr>
                <w:sz w:val="17"/>
                <w:szCs w:val="17"/>
              </w:rPr>
            </w:pPr>
            <w:r>
              <w:rPr>
                <w:sz w:val="17"/>
                <w:szCs w:val="17"/>
              </w:rPr>
              <w:t xml:space="preserve">7.6.3</w:t>
            </w:r>
          </w:p>
        </w:tc>
        <w:tc>
          <w:tcPr>
            <w:tcW w:w="4000" w:type="dxa"/>
            <w:vAlign w:val="center"/>
          </w:tcPr>
          <w:p>
            <w:pPr>
              <w:spacing w:before="20" w:after="20" w:line="240" w:lineRule="auto"/>
              <w:jc w:val="left"/>
              <w:rPr>
                <w:sz w:val="17"/>
                <w:szCs w:val="17"/>
              </w:rPr>
            </w:pPr>
            <w:r>
              <w:rPr>
                <w:sz w:val="17"/>
                <w:szCs w:val="17"/>
              </w:rPr>
              <w:t xml:space="preserve">Gestionar reubicación y asignaciones internas</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Generalista de Personas</w:t>
            </w:r>
          </w:p>
        </w:tc>
      </w:tr>
      <w:tr>
        <w:tc>
          <w:tcPr>
            <w:tcW w:w="1100" w:type="dxa"/>
            <w:vAlign w:val="center"/>
          </w:tcPr>
          <w:p>
            <w:pPr>
              <w:spacing w:before="20" w:after="20" w:line="240" w:lineRule="auto"/>
              <w:jc w:val="center"/>
              <w:rPr>
                <w:sz w:val="17"/>
                <w:szCs w:val="17"/>
              </w:rPr>
            </w:pPr>
            <w:r>
              <w:rPr>
                <w:sz w:val="17"/>
                <w:szCs w:val="17"/>
              </w:rPr>
              <w:t xml:space="preserve">7.6.3.1</w:t>
            </w:r>
          </w:p>
        </w:tc>
        <w:tc>
          <w:tcPr>
            <w:tcW w:w="4000" w:type="dxa"/>
            <w:vAlign w:val="center"/>
          </w:tcPr>
          <w:p>
            <w:pPr>
              <w:spacing w:before="20" w:after="20" w:line="240" w:lineRule="auto"/>
              <w:jc w:val="left"/>
              <w:rPr>
                <w:sz w:val="17"/>
                <w:szCs w:val="17"/>
              </w:rPr>
            </w:pPr>
            <w:r>
              <w:rPr>
                <w:sz w:val="17"/>
                <w:szCs w:val="17"/>
              </w:rPr>
              <w:t xml:space="preserve">Gestionar expatriados y asignaciones internacionales</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Gerencia de Personas, movilidad internacional</w:t>
            </w:r>
          </w:p>
        </w:tc>
      </w:tr>
      <w:tr>
        <w:tc>
          <w:tcPr>
            <w:tcW w:w="1100" w:type="dxa"/>
            <w:vAlign w:val="center"/>
          </w:tcPr>
          <w:p>
            <w:pPr>
              <w:spacing w:before="20" w:after="20" w:line="240" w:lineRule="auto"/>
              <w:jc w:val="center"/>
              <w:rPr>
                <w:sz w:val="17"/>
                <w:szCs w:val="17"/>
              </w:rPr>
            </w:pPr>
            <w:r>
              <w:rPr>
                <w:sz w:val="17"/>
                <w:szCs w:val="17"/>
              </w:rPr>
              <w:t xml:space="preserve">7.7.3</w:t>
            </w:r>
          </w:p>
        </w:tc>
        <w:tc>
          <w:tcPr>
            <w:tcW w:w="4000" w:type="dxa"/>
            <w:vAlign w:val="center"/>
          </w:tcPr>
          <w:p>
            <w:pPr>
              <w:spacing w:before="20" w:after="20" w:line="240" w:lineRule="auto"/>
              <w:jc w:val="left"/>
              <w:rPr>
                <w:sz w:val="17"/>
                <w:szCs w:val="17"/>
              </w:rPr>
            </w:pPr>
            <w:r>
              <w:rPr>
                <w:sz w:val="17"/>
                <w:szCs w:val="17"/>
              </w:rPr>
              <w:t xml:space="preserve">Actualizar y archivar los datos del trabajador</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Especialista en tecnología de compensaciones</w:t>
            </w:r>
          </w:p>
        </w:tc>
      </w:tr>
      <w:tr>
        <w:tc>
          <w:tcPr>
            <w:tcW w:w="1100" w:type="dxa"/>
            <w:vAlign w:val="center"/>
          </w:tcPr>
          <w:p>
            <w:pPr>
              <w:spacing w:before="20" w:after="20" w:line="240" w:lineRule="auto"/>
              <w:jc w:val="center"/>
              <w:rPr>
                <w:sz w:val="17"/>
                <w:szCs w:val="17"/>
              </w:rPr>
            </w:pPr>
            <w:r>
              <w:rPr>
                <w:sz w:val="17"/>
                <w:szCs w:val="17"/>
              </w:rPr>
              <w:t xml:space="preserve">7.7.2</w:t>
            </w:r>
          </w:p>
        </w:tc>
        <w:tc>
          <w:tcPr>
            <w:tcW w:w="4000" w:type="dxa"/>
            <w:vAlign w:val="center"/>
          </w:tcPr>
          <w:p>
            <w:pPr>
              <w:spacing w:before="20" w:after="20" w:line="240" w:lineRule="auto"/>
              <w:jc w:val="left"/>
              <w:rPr>
                <w:sz w:val="17"/>
                <w:szCs w:val="17"/>
              </w:rPr>
            </w:pPr>
            <w:r>
              <w:rPr>
                <w:sz w:val="17"/>
                <w:szCs w:val="17"/>
              </w:rPr>
              <w:t xml:space="preserve">Gestionar el proceso de consultas del trabajador</w:t>
            </w:r>
          </w:p>
        </w:tc>
        <w:tc>
          <w:tcPr>
            <w:tcW w:w="620" w:type="dxa"/>
            <w:vAlign w:val="center"/>
          </w:tcPr>
          <w:p>
            <w:pPr>
              <w:spacing w:before="20" w:after="20" w:line="240" w:lineRule="auto"/>
              <w:jc w:val="center"/>
              <w:rPr>
                <w:sz w:val="17"/>
                <w:szCs w:val="17"/>
              </w:rPr>
            </w:pPr>
            <w:r>
              <w:rPr>
                <w:sz w:val="17"/>
                <w:szCs w:val="17"/>
              </w:rPr>
              <w:t xml:space="preserve">F18</w:t>
            </w:r>
          </w:p>
        </w:tc>
        <w:tc>
          <w:tcPr>
            <w:tcW w:w="3400" w:type="dxa"/>
            <w:vAlign w:val="center"/>
          </w:tcPr>
          <w:p>
            <w:pPr>
              <w:spacing w:before="20" w:after="20" w:line="240" w:lineRule="auto"/>
              <w:jc w:val="left"/>
              <w:rPr>
                <w:sz w:val="17"/>
                <w:szCs w:val="17"/>
              </w:rPr>
            </w:pPr>
            <w:r>
              <w:rPr>
                <w:sz w:val="17"/>
                <w:szCs w:val="17"/>
              </w:rPr>
              <w:t xml:space="preserve">Por definir</w:t>
            </w:r>
          </w:p>
        </w:tc>
      </w:tr>
      <w:tr>
        <w:tc>
          <w:tcPr>
            <w:tcW w:w="1100" w:type="dxa"/>
            <w:vAlign w:val="center"/>
          </w:tcPr>
          <w:p>
            <w:pPr>
              <w:spacing w:before="20" w:after="20" w:line="240" w:lineRule="auto"/>
              <w:jc w:val="center"/>
              <w:rPr>
                <w:sz w:val="17"/>
                <w:szCs w:val="17"/>
              </w:rPr>
            </w:pPr>
            <w:r>
              <w:rPr>
                <w:sz w:val="17"/>
                <w:szCs w:val="17"/>
              </w:rPr>
              <w:t xml:space="preserve">7.7.9</w:t>
            </w:r>
          </w:p>
        </w:tc>
        <w:tc>
          <w:tcPr>
            <w:tcW w:w="4000" w:type="dxa"/>
            <w:vAlign w:val="center"/>
          </w:tcPr>
          <w:p>
            <w:pPr>
              <w:spacing w:before="20" w:after="20" w:line="240" w:lineRule="auto"/>
              <w:jc w:val="left"/>
              <w:rPr>
                <w:sz w:val="17"/>
                <w:szCs w:val="17"/>
              </w:rPr>
            </w:pPr>
            <w:r>
              <w:rPr>
                <w:sz w:val="17"/>
                <w:szCs w:val="17"/>
              </w:rPr>
              <w:t xml:space="preserve">Recolectar y gestionar sugerencias del trabajador</w:t>
            </w:r>
          </w:p>
        </w:tc>
        <w:tc>
          <w:tcPr>
            <w:tcW w:w="620" w:type="dxa"/>
            <w:vAlign w:val="center"/>
          </w:tcPr>
          <w:p>
            <w:pPr>
              <w:spacing w:before="20" w:after="20" w:line="240" w:lineRule="auto"/>
              <w:jc w:val="center"/>
              <w:rPr>
                <w:sz w:val="17"/>
                <w:szCs w:val="17"/>
              </w:rPr>
            </w:pPr>
            <w:r>
              <w:rPr>
                <w:sz w:val="17"/>
                <w:szCs w:val="17"/>
              </w:rPr>
              <w:t xml:space="preserve">F18</w:t>
            </w:r>
          </w:p>
        </w:tc>
        <w:tc>
          <w:tcPr>
            <w:tcW w:w="3400" w:type="dxa"/>
            <w:vAlign w:val="center"/>
          </w:tcPr>
          <w:p>
            <w:pPr>
              <w:spacing w:before="20" w:after="20" w:line="240" w:lineRule="auto"/>
              <w:jc w:val="left"/>
              <w:rPr>
                <w:sz w:val="17"/>
                <w:szCs w:val="17"/>
              </w:rPr>
            </w:pPr>
            <w:r>
              <w:rPr>
                <w:sz w:val="17"/>
                <w:szCs w:val="17"/>
              </w:rPr>
              <w:t xml:space="preserve">Por definir</w:t>
            </w:r>
          </w:p>
        </w:tc>
      </w:tr>
    </w:tbl>
    <w:p>
      <w:pPr>
        <w:pStyle w:val="Fuente"/>
      </w:pPr>
      <w:r>
        <w:t xml:space="preserve">Fuente: Elaboración propia.</w:t>
      </w:r>
    </w:p>
    <w:p>
      <w:r>
        <w:t xml:space="preserve">Las brechas no se distribuyen de manera uniforme, sino que se concentran en dos fases que operan como cortes de la cadena. La fase F15, administración de nómina, quedó constituida únicamente por dos elementos, ambos declarados como brecha. La fase F17, desvinculación y salida, presenta 8 brechas de sus 11 elementos, de modo que el cierre del ciclo de vida del trabajador es hoy el tramo menos documentado del macroproceso, en contraste con su fase espejo de incorporación.</w:t>
      </w:r>
    </w:p>
    <w:p>
      <w:r>
        <w:t xml:space="preserve">El análisis del Process Classification Framework permite distinguir dos orígenes distintos de estas brechas. En ocho de los doce casos el marco de referencia no desarrolla subprocesos en un nivel accionable para el código respectivo, por lo que no es posible apoyarse en él para describir la actividad. En los casos restantes el marco sí desarrolla el proceso, pero no se dispone de evidencia interna que documente cómo lo ejecuta la compañía. Esta distinción es relevante para el objetivo específico 2, porque una tarea que no ha podido describirse tampoco puede someterse a evaluación de riesgos, de modo que el cierre de estas brechas condiciona la cobertura alcanzable en la etapa siguiente.</w:t>
      </w:r>
    </w:p>
    <w:p>
      <w:pPr>
        <w:pStyle w:val="Heading3"/>
      </w:pPr>
      <w:r>
        <w:t xml:space="preserve">3.2.4. Aportes de las entrevistas y tensiones detectadas</w:t>
      </w:r>
    </w:p>
    <w:p>
      <w:r>
        <w:t xml:space="preserve">Un resultado relevante del levantamiento es que 36 pasos del flujo provienen de los registros de entrevista y no constan en ningún procedimiento vigente, lo que equivale al 15,4 % de los 234 pasos del proceso. Se trata de actividades que la organización ejecuta de manera habitual sin haberlas formalizado, entre las que se cuentan la priorización de las necesidades de dotación según urgencia, la coordinación con laboratorios externos y la validación de los resultados del examen preocupacional, la validación de la propuesta de renta entre el generalista y el área solicitante, y la facilitación de los comités de calibración del desempeño. Su identificación constituye un aporte directo del trabajo, en la medida en que son pasos que deben incorporarse a los manuales para que la arquitectura refleje la operación real.</w:t>
      </w:r>
    </w:p>
    <w:p>
      <w:r>
        <w:t xml:space="preserve">El contraste entre las fuentes también permitió detectar tensiones que deben resolverse antes de consolidar los manuales. La más significativa afecta a la fase de gestión del desempeño: el procedimiento vigente establece que los objetivos individuales de los roles supervisor y ejecutivo se fijan en los primeros meses del año, mientras que el registro de entrevista sitúa el ciclo del rol ejecutivo entre febrero y abril y el del rol supervisor entre octubre y diciembre. La discrepancia admite dos explicaciones, a saber, que el procedimiento se encuentre desactualizado o que el registro no distinga entre la fijación de objetivos y su evaluación, y su resolución requiere la validación del dueño de proceso.</w:t>
      </w:r>
    </w:p>
    <w:p>
      <w:pPr>
        <w:pStyle w:val="Heading3"/>
      </w:pPr>
      <w:r>
        <w:t xml:space="preserve">3.2.5. Estado de los indicadores del objetivo específico 1</w:t>
      </w:r>
    </w:p>
    <w:p>
      <w:r>
        <w:t xml:space="preserve">Conforme a lo señalado en el apartado 2.3.1, la cobertura de arquitectura de procesos exige la segmentación en los cinco niveles jerárquicos, etapa que no se ha iniciado, por lo que el indicador permanece en su línea base. El avance de la primera etapa se reporta mediante la cobertura de trazabilidad del flujo levantado. La Tabla 8 presenta el estado de ambas mediciones.</w:t>
      </w:r>
    </w:p>
    <w:p>
      <w:pPr>
        <w:pStyle w:val="Caption"/>
        <w:keepNext/>
      </w:pPr>
      <w:r>
        <w:rPr>
          <w:b/>
        </w:rPr>
        <w:t xml:space="preserve">Tabla </w:t>
      </w:r>
      <w:fldSimple w:dirty="true" w:instr=" SEQ Tabla \* ARABIC ">
        <w:r>
          <w:t xml:space="preserve">1</w:t>
        </w:r>
      </w:fldSimple>
      <w:r>
        <w:rPr>
          <w:b/>
        </w:rPr>
        <w:t xml:space="preserve">. </w:t>
      </w:r>
      <w:r>
        <w:t xml:space="preserve">Estado de los indicadores del objetivo específico 1.</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2300"/>
        <w:gridCol w:w="3600"/>
        <w:gridCol w:w="1200"/>
        <w:gridCol w:w="1100"/>
        <w:gridCol w:w="920"/>
      </w:tblGrid>
      <w:tr>
        <w:trPr>
          <w:tblHeader/>
        </w:trPr>
        <w:tc>
          <w:tcPr>
            <w:tcW w:w="2300" w:type="dxa"/>
            <w:shd w:val="clear" w:color="auto" w:fill="D9D9D9"/>
            <w:vAlign w:val="center"/>
          </w:tcPr>
          <w:p>
            <w:pPr>
              <w:spacing w:before="20" w:after="20" w:line="240" w:lineRule="auto"/>
              <w:jc w:val="center"/>
              <w:rPr>
                <w:sz w:val="18"/>
                <w:szCs w:val="18"/>
              </w:rPr>
            </w:pPr>
            <w:r>
              <w:rPr>
                <w:b/>
                <w:sz w:val="18"/>
                <w:szCs w:val="18"/>
              </w:rPr>
              <w:t xml:space="preserve">Medición</w:t>
            </w:r>
          </w:p>
        </w:tc>
        <w:tc>
          <w:tcPr>
            <w:tcW w:w="3600" w:type="dxa"/>
            <w:shd w:val="clear" w:color="auto" w:fill="D9D9D9"/>
            <w:vAlign w:val="center"/>
          </w:tcPr>
          <w:p>
            <w:pPr>
              <w:spacing w:before="20" w:after="20" w:line="240" w:lineRule="auto"/>
              <w:jc w:val="center"/>
              <w:rPr>
                <w:sz w:val="18"/>
                <w:szCs w:val="18"/>
              </w:rPr>
            </w:pPr>
            <w:r>
              <w:rPr>
                <w:b/>
                <w:sz w:val="18"/>
                <w:szCs w:val="18"/>
              </w:rPr>
              <w:t xml:space="preserve">Definición</w:t>
            </w:r>
          </w:p>
        </w:tc>
        <w:tc>
          <w:tcPr>
            <w:tcW w:w="1200" w:type="dxa"/>
            <w:shd w:val="clear" w:color="auto" w:fill="D9D9D9"/>
            <w:vAlign w:val="center"/>
          </w:tcPr>
          <w:p>
            <w:pPr>
              <w:spacing w:before="20" w:after="20" w:line="240" w:lineRule="auto"/>
              <w:jc w:val="center"/>
              <w:rPr>
                <w:sz w:val="18"/>
                <w:szCs w:val="18"/>
              </w:rPr>
            </w:pPr>
            <w:r>
              <w:rPr>
                <w:b/>
                <w:sz w:val="18"/>
                <w:szCs w:val="18"/>
              </w:rPr>
              <w:t xml:space="preserve">MP8</w:t>
            </w:r>
          </w:p>
        </w:tc>
        <w:tc>
          <w:tcPr>
            <w:tcW w:w="1100" w:type="dxa"/>
            <w:shd w:val="clear" w:color="auto" w:fill="D9D9D9"/>
            <w:vAlign w:val="center"/>
          </w:tcPr>
          <w:p>
            <w:pPr>
              <w:spacing w:before="20" w:after="20" w:line="240" w:lineRule="auto"/>
              <w:jc w:val="center"/>
              <w:rPr>
                <w:sz w:val="18"/>
                <w:szCs w:val="18"/>
              </w:rPr>
            </w:pPr>
            <w:r>
              <w:rPr>
                <w:b/>
                <w:sz w:val="18"/>
                <w:szCs w:val="18"/>
              </w:rPr>
              <w:t xml:space="preserve">MP21</w:t>
            </w:r>
          </w:p>
        </w:tc>
        <w:tc>
          <w:tcPr>
            <w:tcW w:w="920" w:type="dxa"/>
            <w:shd w:val="clear" w:color="auto" w:fill="D9D9D9"/>
            <w:vAlign w:val="center"/>
          </w:tcPr>
          <w:p>
            <w:pPr>
              <w:spacing w:before="20" w:after="20" w:line="240" w:lineRule="auto"/>
              <w:jc w:val="center"/>
              <w:rPr>
                <w:sz w:val="18"/>
                <w:szCs w:val="18"/>
              </w:rPr>
            </w:pPr>
            <w:r>
              <w:rPr>
                <w:b/>
                <w:sz w:val="18"/>
                <w:szCs w:val="18"/>
              </w:rPr>
              <w:t xml:space="preserve">Meta</w:t>
            </w:r>
          </w:p>
        </w:tc>
      </w:tr>
      <w:tr>
        <w:tc>
          <w:tcPr>
            <w:tcW w:w="2300" w:type="dxa"/>
            <w:vAlign w:val="center"/>
          </w:tcPr>
          <w:p>
            <w:pPr>
              <w:spacing w:before="20" w:after="20" w:line="240" w:lineRule="auto"/>
              <w:jc w:val="left"/>
              <w:rPr>
                <w:sz w:val="18"/>
                <w:szCs w:val="18"/>
              </w:rPr>
            </w:pPr>
            <w:r>
              <w:rPr>
                <w:sz w:val="18"/>
                <w:szCs w:val="18"/>
              </w:rPr>
              <w:t xml:space="preserve">Cobertura de trazabilidad del flujo</w:t>
            </w:r>
          </w:p>
        </w:tc>
        <w:tc>
          <w:tcPr>
            <w:tcW w:w="3600" w:type="dxa"/>
            <w:vAlign w:val="center"/>
          </w:tcPr>
          <w:p>
            <w:pPr>
              <w:spacing w:before="20" w:after="20" w:line="240" w:lineRule="auto"/>
              <w:jc w:val="left"/>
              <w:rPr>
                <w:sz w:val="18"/>
                <w:szCs w:val="18"/>
              </w:rPr>
            </w:pPr>
            <w:r>
              <w:rPr>
                <w:sz w:val="18"/>
                <w:szCs w:val="18"/>
              </w:rPr>
              <w:t xml:space="preserve">Pasos del flujo con respaldo en procedimiento, entrevista o Process Classification Framework, sobre el total de pasos levantados</w:t>
            </w:r>
          </w:p>
        </w:tc>
        <w:tc>
          <w:tcPr>
            <w:tcW w:w="1200" w:type="dxa"/>
            <w:vAlign w:val="center"/>
          </w:tcPr>
          <w:p>
            <w:pPr>
              <w:spacing w:before="20" w:after="20" w:line="240" w:lineRule="auto"/>
              <w:jc w:val="center"/>
              <w:rPr>
                <w:sz w:val="18"/>
                <w:szCs w:val="18"/>
              </w:rPr>
            </w:pPr>
            <w:r>
              <w:rPr>
                <w:sz w:val="18"/>
                <w:szCs w:val="18"/>
              </w:rPr>
              <w:t xml:space="preserve">222 de 234
94,9 %</w:t>
            </w:r>
          </w:p>
        </w:tc>
        <w:tc>
          <w:tcPr>
            <w:tcW w:w="1100" w:type="dxa"/>
            <w:vAlign w:val="center"/>
          </w:tcPr>
          <w:p>
            <w:pPr>
              <w:spacing w:before="20" w:after="20" w:line="240" w:lineRule="auto"/>
              <w:jc w:val="center"/>
              <w:rPr>
                <w:sz w:val="18"/>
                <w:szCs w:val="18"/>
              </w:rPr>
            </w:pPr>
            <w:r>
              <w:rPr>
                <w:sz w:val="18"/>
                <w:szCs w:val="18"/>
              </w:rPr>
              <w:t xml:space="preserve">No iniciado</w:t>
            </w:r>
          </w:p>
        </w:tc>
        <w:tc>
          <w:tcPr>
            <w:tcW w:w="920" w:type="dxa"/>
            <w:vAlign w:val="center"/>
          </w:tcPr>
          <w:p>
            <w:pPr>
              <w:spacing w:before="20" w:after="20" w:line="240" w:lineRule="auto"/>
              <w:jc w:val="center"/>
              <w:rPr>
                <w:sz w:val="18"/>
                <w:szCs w:val="18"/>
              </w:rPr>
            </w:pPr>
            <w:r>
              <w:rPr>
                <w:sz w:val="18"/>
                <w:szCs w:val="18"/>
              </w:rPr>
              <w:t xml:space="preserve">100 %</w:t>
            </w:r>
          </w:p>
        </w:tc>
      </w:tr>
      <w:tr>
        <w:tc>
          <w:tcPr>
            <w:tcW w:w="2300" w:type="dxa"/>
            <w:vAlign w:val="center"/>
          </w:tcPr>
          <w:p>
            <w:pPr>
              <w:spacing w:before="20" w:after="20" w:line="240" w:lineRule="auto"/>
              <w:jc w:val="left"/>
              <w:rPr>
                <w:sz w:val="18"/>
                <w:szCs w:val="18"/>
              </w:rPr>
            </w:pPr>
            <w:r>
              <w:rPr>
                <w:sz w:val="18"/>
                <w:szCs w:val="18"/>
              </w:rPr>
              <w:t xml:space="preserve">Cobertura de arquitectura de procesos (CAP)</w:t>
            </w:r>
          </w:p>
        </w:tc>
        <w:tc>
          <w:tcPr>
            <w:tcW w:w="3600" w:type="dxa"/>
            <w:vAlign w:val="center"/>
          </w:tcPr>
          <w:p>
            <w:pPr>
              <w:spacing w:before="20" w:after="20" w:line="240" w:lineRule="auto"/>
              <w:jc w:val="left"/>
              <w:rPr>
                <w:sz w:val="18"/>
                <w:szCs w:val="18"/>
              </w:rPr>
            </w:pPr>
            <w:r>
              <w:rPr>
                <w:sz w:val="18"/>
                <w:szCs w:val="18"/>
              </w:rPr>
              <w:t xml:space="preserve">Elementos documentados en los cinco niveles jerárquicos del Modelo de Gestión Operacional, sobre el total identificado</w:t>
            </w:r>
          </w:p>
        </w:tc>
        <w:tc>
          <w:tcPr>
            <w:tcW w:w="1200" w:type="dxa"/>
            <w:vAlign w:val="center"/>
          </w:tcPr>
          <w:p>
            <w:pPr>
              <w:spacing w:before="20" w:after="20" w:line="240" w:lineRule="auto"/>
              <w:jc w:val="center"/>
              <w:rPr>
                <w:sz w:val="18"/>
                <w:szCs w:val="18"/>
              </w:rPr>
            </w:pPr>
            <w:r>
              <w:rPr>
                <w:sz w:val="18"/>
                <w:szCs w:val="18"/>
              </w:rPr>
              <w:t xml:space="preserve">0 %</w:t>
            </w:r>
          </w:p>
        </w:tc>
        <w:tc>
          <w:tcPr>
            <w:tcW w:w="1100" w:type="dxa"/>
            <w:vAlign w:val="center"/>
          </w:tcPr>
          <w:p>
            <w:pPr>
              <w:spacing w:before="20" w:after="20" w:line="240" w:lineRule="auto"/>
              <w:jc w:val="center"/>
              <w:rPr>
                <w:sz w:val="18"/>
                <w:szCs w:val="18"/>
              </w:rPr>
            </w:pPr>
            <w:r>
              <w:rPr>
                <w:sz w:val="18"/>
                <w:szCs w:val="18"/>
              </w:rPr>
              <w:t xml:space="preserve">0 %</w:t>
            </w:r>
          </w:p>
        </w:tc>
        <w:tc>
          <w:tcPr>
            <w:tcW w:w="920" w:type="dxa"/>
            <w:vAlign w:val="center"/>
          </w:tcPr>
          <w:p>
            <w:pPr>
              <w:spacing w:before="20" w:after="20" w:line="240" w:lineRule="auto"/>
              <w:jc w:val="center"/>
              <w:rPr>
                <w:sz w:val="18"/>
                <w:szCs w:val="18"/>
              </w:rPr>
            </w:pPr>
            <w:r>
              <w:rPr>
                <w:sz w:val="18"/>
                <w:szCs w:val="18"/>
              </w:rPr>
              <w:t xml:space="preserve">100 %</w:t>
            </w:r>
          </w:p>
        </w:tc>
      </w:tr>
    </w:tbl>
    <w:p>
      <w:pPr>
        <w:pStyle w:val="Fuente"/>
      </w:pPr>
      <w:r>
        <w:t xml:space="preserve">Fuente: Elaboración propia.</w:t>
      </w:r>
    </w:p>
    <w:p>
      <w:r>
        <w:t xml:space="preserve">La cobertura de trazabilidad alcanzada en MP8 indica que el levantamiento del flujo se encuentra sustancialmente completo y que el remanente corresponde a brechas identificadas y asignadas a un rol para su cierre, no a tramos desconocidos del macroproceso. El valor nulo de la cobertura de arquitectura de procesos no expresa ausencia de avance, sino que el indicador mide un producto posterior en la secuencia metodológica.</w:t>
      </w:r>
    </w:p>
    <w:p>
      <w:pPr>
        <w:pStyle w:val="Heading3"/>
      </w:pPr>
      <w:r>
        <w:t xml:space="preserve">3.2.6. Validación de los resultados</w:t>
      </w:r>
    </w:p>
    <w:p>
      <w:r>
        <w:t xml:space="preserve">El flujo levantado fue revisado con el líder de mejora continua de la compañía, instancia en la que se verificó la continuidad de la cadena, la consistencia de la secuencia de entregas entre áreas y la pertinencia de la clasificación empleada. Esta revisión constituye una validación técnica del producto intermedio.</w:t>
      </w:r>
    </w:p>
    <w:p>
      <w:r>
        <w:t xml:space="preserve">La validación formal exigida por el indicador de logro, consistente en el acta de aprobación de los manuales por parte de los dueños de proceso a nivel corporativo, corresponde a la actividad A1.6 y permanece pendiente, conforme a la programación del Anexo B.</w:t>
      </w:r>
    </w:p>
    <w:p>
      <w:pPr>
        <w:pStyle w:val="Heading3"/>
      </w:pPr>
      <w:r>
        <w:t xml:space="preserve">3.2.7. Estado del macroproceso MP21</w:t>
      </w:r>
    </w:p>
    <w:p>
      <w:r>
        <w:t xml:space="preserve">El levantamiento de Servicios Generales no se ha iniciado. Su ejecución está programada entre las semanas 6 y 9 para el flujo único y entre las semanas 10 y 11 para la segmentación jerárquica, conforme a la replanificación presentada en el Anexo B. Se prevé aplicar la misma secuencia metodológica y la misma regla de trazabilidad empleadas en MP8, lo que permitirá comparar ambos macroprocesos bajo criterios homogéneos.</w:t>
      </w:r>
    </w:p>
    <w:p>
      <w:pPr>
        <w:pStyle w:val="Heading2"/>
      </w:pPr>
      <w:r>
        <w:t xml:space="preserve">3.3. RESULTADOS DEL OBJETIVO ESPECÍFICO 2</w:t>
      </w:r>
    </w:p>
    <w:p>
      <w:r>
        <w:t xml:space="preserve">El objetivo específico 2 consiste en evaluar los riesgos operacionales asociados a las tareas modeladas según la metodología COSO II. Su desarrollo está programado a partir de la semana 12 y depende de la arquitectura segmentada en cinco niveles, que delimita el universo de tareas a evaluar. A la fecha de este informe no se dispone de resultados para este objetivo.</w:t>
      </w:r>
    </w:p>
    <w:p>
      <w:r>
        <w:t xml:space="preserve">La estructura prevista para la presentación de sus resultados es la matriz de riesgos consolidada, organizada por macroproceso, proceso, subproceso, actividad y tarea, con la identificación del evento de riesgo, su categoría, la probabilidad, el impacto, el riesgo inherente, los controles existentes y el riesgo residual, acompañada de las distribuciones de riesgo por categoría y por proceso y de la medición de la tasa de cobertura de evaluación de riesgos.</w:t>
      </w:r>
    </w:p>
    <w:p>
      <w:r>
        <w:t xml:space="preserve">La matriz de riesgos, las escalas de valoración, las distribuciones de riesgo inherente y residual y la medición del indicador TCER se incorporarán en este apartado una vez ejecutadas las actividades A2.1 a A2.4.</w:t>
      </w:r>
    </w:p>
    <w:p>
      <w:pPr>
        <w:pStyle w:val="Heading2"/>
      </w:pPr>
      <w:r>
        <w:t xml:space="preserve">3.4. RESULTADOS DEL OBJETIVO ESPECÍFICO 3</w:t>
      </w:r>
    </w:p>
    <w:p>
      <w:r>
        <w:t xml:space="preserve">El objetivo específico 3 consiste en elaborar el sistema de gestión de riesgos para MP8 y MP21, integrando el catálogo de riesgos y sus planes de mitigación. Su desarrollo está programado a partir de la semana 17 y depende de la evaluación de riesgos del objetivo específico 2. A la fecha de este informe no se dispone de resultados para este objetivo.</w:t>
      </w:r>
    </w:p>
    <w:p>
      <w:r>
        <w:t xml:space="preserve">La estructura prevista para la presentación de sus resultados comprende los planes de mitigación diseñados a partir del riesgo residual, la capa de gobernanza del sistema con sus roles, responsabilidades y taxonomía de riesgos, los indicadores clave de riesgo, el esquema de monitoreo y reporte, y la medición de la cobertura de riesgos con plan de mitigación.</w:t>
      </w:r>
    </w:p>
    <w:p>
      <w:r>
        <w:t xml:space="preserve">El diseño del sistema de gestión de riesgos y la medición del indicador CRPM se incorporarán en este apartado una vez ejecutadas las actividades A3.1 a A3.4.</w:t>
      </w:r>
    </w:p>
    <w:p>
      <w:pPr>
        <w:pStyle w:val="Heading2"/>
      </w:pPr>
      <w:r>
        <w:t xml:space="preserve">3.5. DISCUSIÓN</w:t>
      </w:r>
    </w:p>
    <w:p>
      <w:r>
        <w:t xml:space="preserve">Los resultados alcanzados permiten discutir tres aspectos derivados de la revisión bibliográfica, con el alcance limitado que impone el estado de avance del trabajo.</w:t>
      </w:r>
    </w:p>
    <w:p>
      <w:r>
        <w:t xml:space="preserve">En primer lugar, el levantamiento respalda el planteamiento de Hammer y Champy (1993) y de Harmon (2019) sobre la necesidad de organizar el trabajo en torno a procesos como condición para su control. El caso muestra una situación intermedia que la literatura no suele describir con detalle: la compañía dispone de procedimientos formalizados que sustentan 94 pasos del flujo, pero organizados por área funcional, de modo que la documentación existe sin que exista la arquitectura de procesos. Esta distinción entre documentación disponible y arquitectura formalizada es la que justifica el enfoque adoptado, consistente en levantar primero la cadena de entregas de información y derivar de ella la jerarquía, en lugar de suponerla.</w:t>
      </w:r>
    </w:p>
    <w:p>
      <w:r>
        <w:t xml:space="preserve">En segundo lugar, el uso del Process Classification Framework de APQC (2023) como referencia de clasificación resultó útil en los términos que la literatura le atribuye, esto es, para detectar procesos esperables y no documentados: la asociación de 198 elementos a 86 códigos distintos de su categoría 7 permitió identificar tramos ausentes, en particular el cierre del ciclo de vida del trabajador. Al mismo tiempo, el trabajo evidenció un límite del marco que conviene explicitar, y es que en ocho de las doce brechas declaradas el marco no desciende a un nivel accionable, por lo que no puede sustituir el levantamiento en terreno. Este hallazgo matiza la utilidad del marco frente a la valoración general que ofrece la literatura de referencia.</w:t>
      </w:r>
    </w:p>
    <w:p>
      <w:r>
        <w:t xml:space="preserve">En tercer lugar, el resultado tiene implicancias para la aplicación de COSO II en el nivel de tarea, ámbito en que la literatura revisada muestra una aplicación escasa en procesos de apoyo. El levantamiento delimita el universo sobre el cual será posible identificar eventos de riesgo y, al mismo tiempo, acota anticipadamente la cobertura alcanzable, dado que las brechas no descritas no admiten evaluación. En términos de madurez operativa, en el sentido de los modelos discutidos por Szelągowski y Berniak-Woźny (2022), el macroproceso se sitúa en una condición heterogénea, con fases respaldadas en procedimientos vigentes y fases sin documentación, lo que sugiere que la madurez de un macroproceso de apoyo conviene valorarse por fase antes que de manera agregada.</w:t>
      </w:r>
    </w:p>
    <w:p>
      <w:r>
        <w:t xml:space="preserve">La discusión se ampliará en las versiones posteriores a medida que avancen los objetivos específicos 2 y 3, incorporando el contraste de los resultados de MP21 con los de MP8.</w:t>
      </w:r>
    </w:p>
    <w:p>
      <w:pPr>
        <w:pStyle w:val="Heading2"/>
      </w:pPr>
      <w:r>
        <w:t xml:space="preserve">3.6. LIMITACIONES</w:t>
      </w:r>
    </w:p>
    <w:p>
      <w:r>
        <w:t xml:space="preserve">El estudio presenta las siguientes limitaciones:</w:t>
      </w:r>
    </w:p>
    <w:p>
      <w:pPr>
        <w:pStyle w:val="Vineta"/>
      </w:pPr>
      <w:r>
        <w:t xml:space="preserve">-  Se trata de un estudio de caso único, de carácter descriptivo y no experimental, por lo que sus resultados no son generalizables estadísticamente a otras organizaciones ni permiten establecer relaciones causales.</w:t>
      </w:r>
    </w:p>
    <w:p>
      <w:pPr>
        <w:pStyle w:val="Vineta"/>
      </w:pPr>
      <w:r>
        <w:t xml:space="preserve">-  El alcance se limita a dos macroprocesos de apoyo, MP8 y MP21, y no abarca los macroprocesos productivos ni el resto de los procesos de apoyo de la compañía.</w:t>
      </w:r>
    </w:p>
    <w:p>
      <w:pPr>
        <w:pStyle w:val="Vineta"/>
      </w:pPr>
      <w:r>
        <w:t xml:space="preserve">-  El trabajo comprende el diseño del sistema de gestión de riesgos, pero no su implementación ni la ejecución de los planes de mitigación, de modo que no es posible medir su efecto sobre el desempeño operacional.</w:t>
      </w:r>
    </w:p>
    <w:p>
      <w:pPr>
        <w:pStyle w:val="Vineta"/>
      </w:pPr>
      <w:r>
        <w:t xml:space="preserve">-  De los 234 pasos levantados en MP8, 92 se sustentan en insumos internos o en el marco de referencia y no en un procedimiento vigente, por lo que su validación con los dueños de proceso es condición para considerarlos parte de la arquitectura definitiva.</w:t>
      </w:r>
    </w:p>
    <w:p>
      <w:pPr>
        <w:pStyle w:val="Vineta"/>
      </w:pPr>
      <w:r>
        <w:t xml:space="preserve">-  Las 12 brechas declaradas delimitan un tramo del macroproceso que permanece sin describir, lo que acota la cobertura alcanzable en la evaluación de riesgos mientras no se cierren.</w:t>
      </w:r>
    </w:p>
    <w:p>
      <w:pPr>
        <w:pStyle w:val="Vineta"/>
      </w:pPr>
      <w:r>
        <w:t xml:space="preserve">-  La información utilizada es de carácter confidencial, lo que restringe el nivel de detalle que puede exponerse en el cuerpo del informe y obliga a identificar a los participantes por su rol.</w:t>
      </w:r>
    </w:p>
    <w:p>
      <w:pPr>
        <w:pStyle w:val="Vineta"/>
      </w:pPr>
      <w:r>
        <w:t xml:space="preserve">-  El levantamiento se realiza con los dueños de proceso a nivel corporativo, por lo que las variaciones locales de ejecución en cada planta no se documentan de manera exhaustiva.</w:t>
      </w:r>
    </w:p>
    <w:p>
      <w:pPr>
        <w:pStyle w:val="Vineta"/>
      </w:pPr>
      <w:r>
        <w:t xml:space="preserve">-  La doble condición del investigador, como profesional de la compañía y como estudiante, puede introducir sesgos en la interpretación, lo que se mitiga mediante la validación formal de los entregables con los dueños de proceso y con el Profesor Guía.</w:t>
      </w:r>
    </w:p>
    <w:p>
      <w:pPr>
        <w:pStyle w:val="Heading1"/>
      </w:pPr>
      <w:r>
        <w:t xml:space="preserve">CAPÍTULO 4 CONCLUSIONES</w:t>
      </w:r>
    </w:p>
    <w:p>
      <w:r>
        <w:t xml:space="preserve">Las conclusiones que se exponen a continuación tienen carácter preliminar, dado que el presente informe corresponde a la primera versión del Trabajo Final de Grado y el desarrollo de los objetivos específicos se encuentra en curso. Se organizan en función de cada objetivo específico declarado en el apartado 1.6.</w:t>
      </w:r>
    </w:p>
    <w:p>
      <w:r>
        <w:t xml:space="preserve">Respecto del objetivo específico 1, orientado a modelar la arquitectura de procesos de MP8 y MP21 en cinco niveles jerárquicos bajo el Modelo de Gestión Operacional, el trabajo se encuentra en desarrollo y ha completado la primera de sus dos etapas para MP8. El levantamiento del flujo único de información de este macroproceso, con 261 elementos y 318 conexiones distribuidos en 18 fases, alcanzó una cobertura de trazabilidad de 94,9 %, de modo que el remanente corresponde a 12 brechas identificadas y asignadas a un rol para su cierre. El indicador de cobertura de arquitectura de procesos permanece en su línea base, porque mide la segmentación en cinco niveles, etapa que no se ha iniciado, y el levantamiento de MP21 tampoco ha comenzado. En consecuencia, el objetivo no puede declararse cumplido a la fecha.</w:t>
      </w:r>
    </w:p>
    <w:p>
      <w:r>
        <w:t xml:space="preserve">Del avance de este objetivo se desprenden dos conclusiones parciales. La primera es que la compañía dispone de documentación formalizada, que sustenta 94 de los 234 pasos levantados, pero organizada por área funcional, lo que confirma que la existencia de procedimientos no equivale a la existencia de una arquitectura de procesos. La segunda es que el cierre del ciclo de vida del trabajador constituye el tramo menos documentado del macroproceso, dado que las fases de administración de nómina y de desvinculación concentran 10 de las 12 brechas declaradas, condición que acota anticipadamente la cobertura alcanzable en la evaluación de riesgos.</w:t>
      </w:r>
    </w:p>
    <w:p>
      <w:r>
        <w:t xml:space="preserve">El valor final alcanzado por el indicador CAP en ambos macroprocesos se determinará al concluir la segmentación jerárquica y permitirá emitir la conclusión definitiva sobre el cumplimiento del objetivo.</w:t>
      </w:r>
    </w:p>
    <w:p>
      <w:r>
        <w:t xml:space="preserve">Respecto del objetivo específico 2, orientado a evaluar los riesgos operacionales por tarea según COSO II, su ejecución está programada a partir de la semana 12 y depende de la arquitectura segmentada en el objetivo específico 1. A la fecha no es posible emitir conclusiones sobre su cumplimiento.</w:t>
      </w:r>
    </w:p>
    <w:p>
      <w:r>
        <w:t xml:space="preserve">Respecto del objetivo específico 3, orientado a elaborar el sistema de gestión de riesgos integrando el catálogo de riesgos y sus planes de mitigación, su ejecución está programada a partir de la semana 17. A la fecha no es posible emitir conclusiones sobre su cumplimiento.</w:t>
      </w:r>
    </w:p>
    <w:p>
      <w:r>
        <w:t xml:space="preserve">Respecto del objetivo general, orientado a estructurar un sistema de gestión de riesgos según metodología COSO II para MP8 y MP21, el avance alcanzado permite confirmar la viabilidad del enfoque metodológico adoptado y la disponibilidad de las condiciones organizacionales necesarias para su desarrollo, en particular el acceso a la documentación interna y la participación de los dueños de proceso a nivel corporativo. La secuencia consistente en levantar el flujo de información y derivar de él la jerarquía resultó aplicable en un macroproceso real y permitió sostener la regla de trazabilidad sin recurrir a supuestos, lo que respalda su empleo en el levantamiento pendiente de MP21.</w:t>
      </w:r>
    </w:p>
    <w:p>
      <w:r>
        <w:t xml:space="preserve">Las limitaciones del estudio se detallan en el apartado 3.6 y se mantienen vigentes para esta versión del informe.</w:t>
      </w:r>
    </w:p>
    <w:p>
      <w:pPr>
        <w:pStyle w:val="Heading1"/>
      </w:pPr>
      <w:r>
        <w:t xml:space="preserve">CAPÍTULO 5 RECOMENDACIONES</w:t>
      </w:r>
    </w:p>
    <w:p>
      <w:r>
        <w:t xml:space="preserve">A partir del avance alcanzado se formulan las siguientes recomendaciones, las que serán revisadas y ampliadas en las versiones posteriores de este informe.</w:t>
      </w:r>
    </w:p>
    <w:p>
      <w:pPr>
        <w:pStyle w:val="Heading2"/>
      </w:pPr>
      <w:r>
        <w:t xml:space="preserve">5.1. RECOMENDACIONES PARA LA ORGANIZACIÓN</w:t>
      </w:r>
    </w:p>
    <w:p>
      <w:pPr>
        <w:pStyle w:val="Vineta"/>
      </w:pPr>
      <w:r>
        <w:t xml:space="preserve">-  Utilizar la arquitectura de procesos modelada como base normativa para homologar la ejecución de MP8 y MP21 en las seis plantas de la compañía, incorporando los manuales de procesos al Modelo de Gestión Operacional.</w:t>
      </w:r>
    </w:p>
    <w:p>
      <w:pPr>
        <w:pStyle w:val="Vineta"/>
      </w:pPr>
      <w:r>
        <w:t xml:space="preserve">-  Designar responsables formales del mantenimiento de la arquitectura de procesos y del catálogo de riesgos, de modo que ambos se actualicen ante cambios organizacionales y no queden como un registro estático.</w:t>
      </w:r>
    </w:p>
    <w:p>
      <w:pPr>
        <w:pStyle w:val="Vineta"/>
      </w:pPr>
      <w:r>
        <w:t xml:space="preserve">-  Planificar la implementación de los planes de mitigación diseñados como una etapa posterior y diferenciada de este trabajo, con recursos y plazos propios.</w:t>
      </w:r>
    </w:p>
    <w:p>
      <w:pPr>
        <w:pStyle w:val="Vineta"/>
      </w:pPr>
      <w:r>
        <w:t xml:space="preserve">-  Incorporar los indicadores clave de riesgo definidos en la capa de gobernanza a los mecanismos de reporte de gestión existentes en la compañía.</w:t>
      </w:r>
    </w:p>
    <w:p>
      <w:pPr>
        <w:pStyle w:val="Heading2"/>
      </w:pPr>
      <w:r>
        <w:t xml:space="preserve">5.2. RECOMENDACIONES PARA TRABAJOS FUTUROS</w:t>
      </w:r>
    </w:p>
    <w:p>
      <w:pPr>
        <w:pStyle w:val="Vineta"/>
      </w:pPr>
      <w:r>
        <w:t xml:space="preserve">-  Extender el modelamiento y la evaluación de riesgos a los demás macroprocesos de apoyo de la compañía, aplicando la metodología desarrollada en este trabajo.</w:t>
      </w:r>
    </w:p>
    <w:p>
      <w:pPr>
        <w:pStyle w:val="Vineta"/>
      </w:pPr>
      <w:r>
        <w:t xml:space="preserve">-  Evaluar, en un estudio posterior, el efecto de la implementación del sistema de gestión de riesgos sobre indicadores operacionales, lo que requeriría un diseño longitudinal con medición antes y después.</w:t>
      </w:r>
    </w:p>
    <w:p>
      <w:pPr>
        <w:pStyle w:val="Vineta"/>
      </w:pPr>
      <w:r>
        <w:t xml:space="preserve">-  Aplicar un modelo de madurez de gestión de riesgos, como los propuestos por Tubis y Werbińska-Wojciechowska (2021) o el índice basado en COSO 2017 de Soner y Karadag (2026), para medir la evolución del sistema en el tiempo.</w:t>
      </w:r>
    </w:p>
    <w:p>
      <w:pPr>
        <w:pStyle w:val="Vineta"/>
      </w:pPr>
      <w:r>
        <w:t xml:space="preserve">-  Analizar las variaciones locales de ejecución de MP8 y MP21 en cada planta, con el fin de contrastar la arquitectura corporativa con la práctica operacional.</w:t>
      </w:r>
    </w:p>
    <w:p>
      <w:pPr>
        <w:pStyle w:val="Heading1"/>
      </w:pPr>
      <w:r>
        <w:t xml:space="preserve">RECONOCIMIENTOS</w:t>
      </w:r>
    </w:p>
    <w:p>
      <w:r>
        <w:t xml:space="preserve">Se reconoce el aporte de Celulosa Arauco y Constitución S.A., que facilitó el acceso a su documentación interna y la participación de los dueños de proceso de los macroprocesos Gestión de Personas y Servicios Generales, condición sin la cual el desarrollo de este trabajo no habría sido posible. Se reconoce asimismo el apoyo del Profesor Guía y del Profesor Co-guía en la orientación metodológica del trabajo, y el de la Universidad de La Frontera por el acceso a sus recursos bibliográficos.</w:t>
      </w:r>
    </w:p>
    <w:p>
      <w:pPr>
        <w:pStyle w:val="Heading1"/>
      </w:pPr>
      <w:r>
        <w:t xml:space="preserve">REFERENCIAS BIBLIOGRÁFICAS</w:t>
      </w:r>
    </w:p>
    <w:p>
      <w:pPr>
        <w:pStyle w:val="Referencia"/>
      </w:pPr>
      <w:r>
        <w:t xml:space="preserve">American Productivity &amp; Quality Center [APQC]. (2023). </w:t>
      </w:r>
      <w:r>
        <w:rPr>
          <w:i/>
        </w:rPr>
        <w:t xml:space="preserve">Process Classification Framework (PCF): Cross industry</w:t>
      </w:r>
      <w:r>
        <w:t xml:space="preserve">. APQC. https://www.apqc.org/process-frameworks</w:t>
      </w:r>
    </w:p>
    <w:p>
      <w:pPr>
        <w:pStyle w:val="Referencia"/>
      </w:pPr>
      <w:r>
        <w:t xml:space="preserve">Anton, S. G., y Nucu, A. E. A. (2020). Enterprise risk management: A literature review and agenda for future research. </w:t>
      </w:r>
      <w:r>
        <w:rPr>
          <w:i/>
        </w:rPr>
        <w:t xml:space="preserve">Journal of Risk and Financial Management, 13</w:t>
      </w:r>
      <w:r>
        <w:t xml:space="preserve">(11), 281. https://doi.org/10.3390/jrfm13110281</w:t>
      </w:r>
    </w:p>
    <w:p>
      <w:pPr>
        <w:pStyle w:val="Referencia"/>
      </w:pPr>
      <w:r>
        <w:t xml:space="preserve">Ato, M., López, J. J., y Benavente, A. (2013). Un sistema de clasificación de los diseños de investigación en psicología. </w:t>
      </w:r>
      <w:r>
        <w:rPr>
          <w:i/>
        </w:rPr>
        <w:t xml:space="preserve">Anales de Psicología, 29</w:t>
      </w:r>
      <w:r>
        <w:t xml:space="preserve">(3), 1038-1059. https://doi.org/10.6018/analesps.29.3.178511</w:t>
      </w:r>
    </w:p>
    <w:p>
      <w:pPr>
        <w:pStyle w:val="Referencia"/>
      </w:pPr>
      <w:r>
        <w:t xml:space="preserve">Celulosa Arauco y Constitución S.A. (2024). </w:t>
      </w:r>
      <w:r>
        <w:rPr>
          <w:i/>
        </w:rPr>
        <w:t xml:space="preserve">Arauco continúa consolidando el camino hacia un futuro sustentable: cumplimiento de los proyectos asociados a la emisión de 12 millones de UF en bonos sostenibles</w:t>
      </w:r>
      <w:r>
        <w:t xml:space="preserve">. https://arauco.com/chile/arauco-continua-consolidando-el-camino-hacia-un-futuro-sustentable-reportando-el-cumplimiento-de-los-proyectos-de-impacto-social-y-ambiental-asociados-a-la-emision-de-12-millones-de-uf-en-bonos-susten/</w:t>
      </w:r>
    </w:p>
    <w:p>
      <w:pPr>
        <w:pStyle w:val="Referencia"/>
      </w:pPr>
      <w:r>
        <w:t xml:space="preserve">Committee of Sponsoring Organizations of the Treadway Commission [COSO]. (2004). </w:t>
      </w:r>
      <w:r>
        <w:rPr>
          <w:i/>
        </w:rPr>
        <w:t xml:space="preserve">Enterprise risk management: Integrated framework</w:t>
      </w:r>
      <w:r>
        <w:t xml:space="preserve">. AICPA.</w:t>
      </w:r>
    </w:p>
    <w:p>
      <w:pPr>
        <w:pStyle w:val="Referencia"/>
      </w:pPr>
      <w:r>
        <w:t xml:space="preserve">Committee of Sponsoring Organizations of the Treadway Commission [COSO]. (2017). </w:t>
      </w:r>
      <w:r>
        <w:rPr>
          <w:i/>
        </w:rPr>
        <w:t xml:space="preserve">Enterprise risk management: Integrating with strategy and performance</w:t>
      </w:r>
      <w:r>
        <w:t xml:space="preserve">. AICPA.</w:t>
      </w:r>
    </w:p>
    <w:p>
      <w:pPr>
        <w:pStyle w:val="Referencia"/>
      </w:pPr>
      <w:r>
        <w:t xml:space="preserve">Davenport, T. H. (1993). </w:t>
      </w:r>
      <w:r>
        <w:rPr>
          <w:i/>
        </w:rPr>
        <w:t xml:space="preserve">Process innovation: Reengineering work through information technology</w:t>
      </w:r>
      <w:r>
        <w:t xml:space="preserve">. Harvard Business School Press.</w:t>
      </w:r>
    </w:p>
    <w:p>
      <w:pPr>
        <w:pStyle w:val="Referencia"/>
      </w:pPr>
      <w:r>
        <w:t xml:space="preserve">Dobrosavljević, A., Urošević, S., Vuković, M., Talijan, M., y Marinković, D. (2020). Evaluation of process orientation dimensions in the apparel industry. </w:t>
      </w:r>
      <w:r>
        <w:rPr>
          <w:i/>
        </w:rPr>
        <w:t xml:space="preserve">Sustainability, 12</w:t>
      </w:r>
      <w:r>
        <w:t xml:space="preserve">(10), 4145. https://doi.org/10.3390/su12104145</w:t>
      </w:r>
    </w:p>
    <w:p>
      <w:pPr>
        <w:pStyle w:val="Referencia"/>
      </w:pPr>
      <w:r>
        <w:t xml:space="preserve">Farrell, M., y Gallagher, R. (2015). The valuation implications of enterprise risk management maturity. </w:t>
      </w:r>
      <w:r>
        <w:rPr>
          <w:i/>
        </w:rPr>
        <w:t xml:space="preserve">Journal of Risk and Insurance, 82</w:t>
      </w:r>
      <w:r>
        <w:t xml:space="preserve">(3), 625-657. https://doi.org/10.1111/jori.12035</w:t>
      </w:r>
    </w:p>
    <w:p>
      <w:pPr>
        <w:pStyle w:val="Referencia"/>
      </w:pPr>
      <w:r>
        <w:t xml:space="preserve">Hammer, M., y Champy, J. (1993). </w:t>
      </w:r>
      <w:r>
        <w:rPr>
          <w:i/>
        </w:rPr>
        <w:t xml:space="preserve">Reengineering the corporation: A manifesto for business revolution</w:t>
      </w:r>
      <w:r>
        <w:t xml:space="preserve">. HarperBusiness.</w:t>
      </w:r>
    </w:p>
    <w:p>
      <w:pPr>
        <w:pStyle w:val="Referencia"/>
      </w:pPr>
      <w:r>
        <w:t xml:space="preserve">Harmon, P. (2019). </w:t>
      </w:r>
      <w:r>
        <w:rPr>
          <w:i/>
        </w:rPr>
        <w:t xml:space="preserve">Business process change: A business process management guide for managers and process professionals</w:t>
      </w:r>
      <w:r>
        <w:t xml:space="preserve"> (4.ª ed.). Morgan Kaufmann.</w:t>
      </w:r>
    </w:p>
    <w:p>
      <w:pPr>
        <w:pStyle w:val="Referencia"/>
      </w:pPr>
      <w:r>
        <w:t xml:space="preserve">Hoyt, R. E., y Liebenberg, A. P. (2011). The value of enterprise risk management. </w:t>
      </w:r>
      <w:r>
        <w:rPr>
          <w:i/>
        </w:rPr>
        <w:t xml:space="preserve">Journal of Risk and Insurance, 78</w:t>
      </w:r>
      <w:r>
        <w:t xml:space="preserve">(4), 795-822. https://doi.org/10.1111/j.1539-6975.2011.01413.x</w:t>
      </w:r>
    </w:p>
    <w:p>
      <w:pPr>
        <w:pStyle w:val="Referencia"/>
      </w:pPr>
      <w:r>
        <w:t xml:space="preserve">Jagrič, T., Malnar, A., y Galun, M. (2026). From ESG risk governance to firm performance: Measuring the quality of corporate risk management. </w:t>
      </w:r>
      <w:r>
        <w:rPr>
          <w:i/>
        </w:rPr>
        <w:t xml:space="preserve">Sustainability, 18</w:t>
      </w:r>
      <w:r>
        <w:t xml:space="preserve">(10), 5131. https://doi.org/10.3390/su18105131</w:t>
      </w:r>
    </w:p>
    <w:p>
      <w:pPr>
        <w:pStyle w:val="Referencia"/>
      </w:pPr>
      <w:r>
        <w:t xml:space="preserve">Jurdi, D. J., y AlGhnaimat, S. M. (2021). The effects of ERM adoption on European insurance firms performance and risks. </w:t>
      </w:r>
      <w:r>
        <w:rPr>
          <w:i/>
        </w:rPr>
        <w:t xml:space="preserve">Journal of Risk and Financial Management, 14</w:t>
      </w:r>
      <w:r>
        <w:t xml:space="preserve">(11), 554. https://doi.org/10.3390/jrfm14110554</w:t>
      </w:r>
    </w:p>
    <w:p>
      <w:pPr>
        <w:pStyle w:val="Referencia"/>
      </w:pPr>
      <w:r>
        <w:t xml:space="preserve">Kerpedzhiev, G. D., König, U. M., Röglinger, M., y Rosemann, M. (2021). An exploration into future business process management capabilities in view of digitalization. </w:t>
      </w:r>
      <w:r>
        <w:rPr>
          <w:i/>
        </w:rPr>
        <w:t xml:space="preserve">Business &amp; Information Systems Engineering, 63</w:t>
      </w:r>
      <w:r>
        <w:t xml:space="preserve">(2), 83-96. https://doi.org/10.1007/s12599-020-00637-0</w:t>
      </w:r>
    </w:p>
    <w:p>
      <w:pPr>
        <w:pStyle w:val="Referencia"/>
      </w:pPr>
      <w:r>
        <w:t xml:space="preserve">Litvaj, I., Ponisciakova, O., Stancekova, D., Svobodova, J., y Mrazik, J. (2022). Decision-making procedures and their relation to knowledge management and quality management. </w:t>
      </w:r>
      <w:r>
        <w:rPr>
          <w:i/>
        </w:rPr>
        <w:t xml:space="preserve">Sustainability, 14</w:t>
      </w:r>
      <w:r>
        <w:t xml:space="preserve">(1), 572. https://doi.org/10.3390/su14010572</w:t>
      </w:r>
    </w:p>
    <w:p>
      <w:pPr>
        <w:pStyle w:val="Referencia"/>
      </w:pPr>
      <w:r>
        <w:t xml:space="preserve">Marca Chile. (2024). </w:t>
      </w:r>
      <w:r>
        <w:rPr>
          <w:i/>
        </w:rPr>
        <w:t xml:space="preserve">China y Estados Unidos siguen siendo los principales destinos de las exportaciones forestales y agropecuarias (enero-septiembre 2024)</w:t>
      </w:r>
      <w:r>
        <w:t xml:space="preserve">. https://www.marcachile.cl/en/china-y-estados-unidos-siguen-siendo-los-principales-destinos-de-las-exportaciones-forestales-y-agropecuarias-en-enero-septiembre-de-2024/</w:t>
      </w:r>
    </w:p>
    <w:p>
      <w:pPr>
        <w:pStyle w:val="Referencia"/>
      </w:pPr>
      <w:r>
        <w:t xml:space="preserve">Mendling, J., Pentland, B. T., y Recker, J. (2020). Building a complementary agenda for business process management and digital innovation. </w:t>
      </w:r>
      <w:r>
        <w:rPr>
          <w:i/>
        </w:rPr>
        <w:t xml:space="preserve">European Journal of Information Systems, 29</w:t>
      </w:r>
      <w:r>
        <w:t xml:space="preserve">(3), 208-219. https://doi.org/10.1080/0960085X.2020.1755207</w:t>
      </w:r>
    </w:p>
    <w:p>
      <w:pPr>
        <w:pStyle w:val="Referencia"/>
      </w:pPr>
      <w:r>
        <w:t xml:space="preserve">Rummler, G. A., y Brache, A. P. (2013). </w:t>
      </w:r>
      <w:r>
        <w:rPr>
          <w:i/>
        </w:rPr>
        <w:t xml:space="preserve">Improving performance: How to manage the white space on the organization chart</w:t>
      </w:r>
      <w:r>
        <w:t xml:space="preserve"> (3.ª ed.). Jossey-Bass.</w:t>
      </w:r>
    </w:p>
    <w:p>
      <w:pPr>
        <w:pStyle w:val="Referencia"/>
      </w:pPr>
      <w:r>
        <w:t xml:space="preserve">Software Engineering Institute [SEI]. (2010). </w:t>
      </w:r>
      <w:r>
        <w:rPr>
          <w:i/>
        </w:rPr>
        <w:t xml:space="preserve">CMMI for development, version 1.3</w:t>
      </w:r>
      <w:r>
        <w:t xml:space="preserve">. Carnegie Mellon University.</w:t>
      </w:r>
    </w:p>
    <w:p>
      <w:pPr>
        <w:pStyle w:val="Referencia"/>
      </w:pPr>
      <w:r>
        <w:t xml:space="preserve">Soner, M., y Karadag, M. (2026). A COSO-based enterprise risk management maturity in the service industry. </w:t>
      </w:r>
      <w:r>
        <w:rPr>
          <w:i/>
        </w:rPr>
        <w:t xml:space="preserve">Sustainability, 18</w:t>
      </w:r>
      <w:r>
        <w:t xml:space="preserve">(4), 1929. https://doi.org/10.3390/su18041929</w:t>
      </w:r>
    </w:p>
    <w:p>
      <w:pPr>
        <w:pStyle w:val="Referencia"/>
      </w:pPr>
      <w:r>
        <w:t xml:space="preserve">Szelągowski, M., y Berniak-Woźny, J. (2022). How to improve the assessment of BPM maturity in the era of digital transformation. </w:t>
      </w:r>
      <w:r>
        <w:rPr>
          <w:i/>
        </w:rPr>
        <w:t xml:space="preserve">Information Systems and e-Business Management, 20</w:t>
      </w:r>
      <w:r>
        <w:t xml:space="preserve">(1), 171-198. https://doi.org/10.1007/s10257-021-00549-w</w:t>
      </w:r>
    </w:p>
    <w:p>
      <w:pPr>
        <w:pStyle w:val="Referencia"/>
      </w:pPr>
      <w:r>
        <w:t xml:space="preserve">Teixeira, A. R., Ferreira, J. V., y Ramos, A. L. (2024). Optimization of business processes through BPM methodology: A case study on data analysis and performance improvement. </w:t>
      </w:r>
      <w:r>
        <w:rPr>
          <w:i/>
        </w:rPr>
        <w:t xml:space="preserve">Information, 15</w:t>
      </w:r>
      <w:r>
        <w:t xml:space="preserve">(11), 724. https://doi.org/10.3390/info15110724</w:t>
      </w:r>
    </w:p>
    <w:p>
      <w:pPr>
        <w:pStyle w:val="Referencia"/>
      </w:pPr>
      <w:r>
        <w:t xml:space="preserve">Thomas, D. S., y Weiss, B. A. (2021). Maintenance costs and advanced maintenance techniques in manufacturing machinery: Survey and analysis. </w:t>
      </w:r>
      <w:r>
        <w:rPr>
          <w:i/>
        </w:rPr>
        <w:t xml:space="preserve">International Journal of Prognostics and Health Management, 12</w:t>
      </w:r>
      <w:r>
        <w:t xml:space="preserve">(1). https://doi.org/10.36001/ijphm.2021.v12i1.2883</w:t>
      </w:r>
    </w:p>
    <w:p>
      <w:pPr>
        <w:pStyle w:val="Referencia"/>
      </w:pPr>
      <w:r>
        <w:t xml:space="preserve">Tubis, A. A., y Werbińska-Wojciechowska, S. (2021). Risk management maturity model for logistic processes. </w:t>
      </w:r>
      <w:r>
        <w:rPr>
          <w:i/>
        </w:rPr>
        <w:t xml:space="preserve">Sustainability, 13</w:t>
      </w:r>
      <w:r>
        <w:t xml:space="preserve">(2), 659. https://doi.org/10.3390/su13020659</w:t>
      </w:r>
    </w:p>
    <w:p>
      <w:pPr>
        <w:pStyle w:val="Referencia"/>
      </w:pPr>
      <w:r>
        <w:t xml:space="preserve">Yang, S., Ishtiaq, M., y Anwar, M. (2018). Enterprise risk management practices and firm performance, the mediating role of competitive advantage and the moderating role of financial literacy. </w:t>
      </w:r>
      <w:r>
        <w:rPr>
          <w:i/>
        </w:rPr>
        <w:t xml:space="preserve">Journal of Risk and Financial Management, 11</w:t>
      </w:r>
      <w:r>
        <w:t xml:space="preserve">(3), 35. https://doi.org/10.3390/jrfm11030035</w:t>
      </w:r>
    </w:p>
    <w:p>
      <w:pPr>
        <w:pStyle w:val="Heading1"/>
      </w:pPr>
      <w:r>
        <w:t xml:space="preserve">ANEXOS</w:t>
      </w:r>
    </w:p>
    <w:p>
      <w:r>
        <w:t xml:space="preserve">Los anexos que se incluyen a continuación complementan el contenido del informe y son citados en el cuerpo del texto.</w:t>
      </w:r>
    </w:p>
    <w:p>
      <w:pPr>
        <w:pStyle w:val="Vineta"/>
      </w:pPr>
      <w:r>
        <w:t xml:space="preserve">-  Anexo A. Plan de trabajo detallado.</w:t>
      </w:r>
    </w:p>
    <w:p>
      <w:pPr>
        <w:pStyle w:val="Vineta"/>
      </w:pPr>
      <w:r>
        <w:t xml:space="preserve">-  Anexo B. Carta Gantt.</w:t>
      </w:r>
    </w:p>
    <w:p>
      <w:pPr>
        <w:pStyle w:val="Vineta"/>
      </w:pPr>
      <w:r>
        <w:t xml:space="preserve">-  Anexo C. Infraestructura disponible y recursos.</w:t>
      </w:r>
    </w:p>
    <w:p>
      <w:pPr>
        <w:pStyle w:val="Vineta"/>
      </w:pPr>
      <w:r>
        <w:t xml:space="preserve">-  Anexo D. Pautas de recolección de datos.</w:t>
      </w:r>
    </w:p>
    <w:p>
      <w:pPr>
        <w:pStyle w:val="Vineta"/>
      </w:pPr>
      <w:r>
        <w:t xml:space="preserve">-  Anexo E. Carta de compromiso de la empresa.</w:t>
      </w:r>
    </w:p>
    <w:p>
      <w:pPr>
        <w:pStyle w:val="Heading1"/>
      </w:pPr>
      <w:r>
        <w:t xml:space="preserve">ANEXO A. PLAN DE TRABAJO DETALLADO</w:t>
      </w:r>
    </w:p>
    <w:p>
      <w:r>
        <w:t xml:space="preserve">Las actividades se organizan por objetivo específico e incluyen actividades generales transversales al desarrollo completo del trabajo. Cada actividad se identifica con un código alfanumérico, donde A1.x corresponde a OE1, A2.x a OE2, A3.x a OE3 y A-G a las actividades generales.</w:t>
      </w:r>
    </w:p>
    <w:p>
      <w:pPr>
        <w:pStyle w:val="Heading2"/>
      </w:pPr>
      <w:r>
        <w:t xml:space="preserve">A.1. ACTIVIDADES DEL OBJETIVO ESPECÍFICO 1</w:t>
      </w:r>
    </w:p>
    <w:p>
      <w:pPr>
        <w:pStyle w:val="Vineta"/>
      </w:pPr>
      <w:r>
        <w:t xml:space="preserve">-  A1.1. Revisión documental y diagnóstico preliminar de MP8 y MP21. Recopilación y análisis de la documentación existente en Arauco, incluyendo organigramas, descripciones de cargos, procedimientos y registros de proceso, y diagnóstico del grado de formalización actual. Duración estimada: 2 semanas.</w:t>
      </w:r>
    </w:p>
    <w:p>
      <w:pPr>
        <w:pStyle w:val="Vineta"/>
      </w:pPr>
      <w:r>
        <w:t xml:space="preserve">-  A1.2. Entrevistas con los dueños de proceso a nivel corporativo. Diseño de pauta, agendamiento y ejecución de entrevistas y sesiones de trabajo con los responsables de MP8 y MP21. Duración estimada: 3 semanas.</w:t>
      </w:r>
    </w:p>
    <w:p>
      <w:pPr>
        <w:pStyle w:val="Vineta"/>
      </w:pPr>
      <w:r>
        <w:t xml:space="preserve">-  A1.3.1. Levantamiento y diagramación del flujo único de información de MP8. Trazado de la cadena SIPOC continua del macroproceso, desde el primer proveedor hasta el último cliente, con el orden y el punto de arranque que establece el Process Classification Framework de APQC v8.0 en su categoría 7. Cada elemento se respalda en procedimiento vigente, entrevista o Process Classification Framework, y se declara como brecha pendiente cuando ninguna de las tres fuentes lo sustenta. Duración estimada: 3 semanas.</w:t>
      </w:r>
    </w:p>
    <w:p>
      <w:pPr>
        <w:pStyle w:val="Vineta"/>
      </w:pPr>
      <w:r>
        <w:t xml:space="preserve">-  A1.3.2. Segmentación jerárquica de MP8 en cinco niveles. Derivación de la arquitectura de procesos, subprocesos, actividades y tareas a partir del flujo levantado, bajo el formato del Modelo de Gestión Operacional. Duración estimada: 2 semanas.</w:t>
      </w:r>
    </w:p>
    <w:p>
      <w:pPr>
        <w:pStyle w:val="Vineta"/>
      </w:pPr>
      <w:r>
        <w:t xml:space="preserve">-  A1.4.1. Levantamiento y diagramación del flujo único de información de MP21. Equivalente a A1.3.1 para el macroproceso Servicios Generales. Duración estimada: 4 semanas.</w:t>
      </w:r>
    </w:p>
    <w:p>
      <w:pPr>
        <w:pStyle w:val="Vineta"/>
      </w:pPr>
      <w:r>
        <w:t xml:space="preserve">-  A1.4.2. Segmentación jerárquica de MP21 en cinco niveles. Equivalente a A1.3.2 para el macroproceso Servicios Generales. Duración estimada: 2 semanas.</w:t>
      </w:r>
    </w:p>
    <w:p>
      <w:pPr>
        <w:pStyle w:val="Vineta"/>
      </w:pPr>
      <w:r>
        <w:t xml:space="preserve">-  A1.5. Consolidación de los manuales de procesos MP8 y MP21. Consolidación de la arquitectura modelada en dos manuales de procesos bajo el formato del Modelo de Gestión Operacional, incluyendo diagramas de flujo y matrices RACI. Condición de cumplimiento: manuales validados con los dueños de proceso. Duración estimada: 2 semanas.</w:t>
      </w:r>
    </w:p>
    <w:p>
      <w:pPr>
        <w:pStyle w:val="Vineta"/>
      </w:pPr>
      <w:r>
        <w:t xml:space="preserve">-  A1.6. Entrega y validación de los manuales de procesos MP8 y MP21. Presentación formal de los dos manuales a los dueños de proceso a nivel corporativo para su revisión y validación. Condición de cumplimiento: acta de validación de ambos manuales. Duración estimada: 1 semana.</w:t>
      </w:r>
    </w:p>
    <w:p>
      <w:pPr>
        <w:pStyle w:val="Heading2"/>
      </w:pPr>
      <w:r>
        <w:t xml:space="preserve">A.2. ACTIVIDADES DEL OBJETIVO ESPECÍFICO 2</w:t>
      </w:r>
    </w:p>
    <w:p>
      <w:pPr>
        <w:pStyle w:val="Vineta"/>
      </w:pPr>
      <w:r>
        <w:t xml:space="preserve">-  A2.1. Identificación de eventos de riesgo por tarea según COSO II. Talleres de análisis de riesgo con los dueños de proceso para identificar los eventos de riesgo asociados a cada tarea modelada de MP8 y MP21. Duración estimada: 3 semanas.</w:t>
      </w:r>
    </w:p>
    <w:p>
      <w:pPr>
        <w:pStyle w:val="Vineta"/>
      </w:pPr>
      <w:r>
        <w:t xml:space="preserve">-  A2.2. Valoración de los riesgos en términos de riesgo inherente, controles y riesgo residual. Valoración de la probabilidad e impacto de cada riesgo, determinación del riesgo inherente, identificación de controles existentes y estimación del riesgo residual. Duración estimada: 3 semanas.</w:t>
      </w:r>
    </w:p>
    <w:p>
      <w:pPr>
        <w:pStyle w:val="Vineta"/>
      </w:pPr>
      <w:r>
        <w:t xml:space="preserve">-  A2.3. Consolidación de la matriz de riesgos. Sistematización de los riesgos identificados y valorados en una matriz estructurada por macroproceso, proceso, subproceso, actividad y tarea. Condición de cumplimiento: matriz validada con el Profesor Guía. Duración estimada: 2 semanas.</w:t>
      </w:r>
    </w:p>
    <w:p>
      <w:pPr>
        <w:pStyle w:val="Vineta"/>
      </w:pPr>
      <w:r>
        <w:t xml:space="preserve">-  A2.4. Entrega de la matriz de riesgos evaluados. Presentación de la matriz de riesgos de MP8 y MP21, con el riesgo inherente, los controles y el riesgo residual, a los dueños de proceso y al Profesor Guía para su validación. Condición de cumplimiento: matriz de riesgos validada. Duración estimada: 1 semana.</w:t>
      </w:r>
    </w:p>
    <w:p>
      <w:pPr>
        <w:pStyle w:val="Heading2"/>
      </w:pPr>
      <w:r>
        <w:t xml:space="preserve">A.3. ACTIVIDADES DEL OBJETIVO ESPECÍFICO 3</w:t>
      </w:r>
    </w:p>
    <w:p>
      <w:pPr>
        <w:pStyle w:val="Vineta"/>
      </w:pPr>
      <w:r>
        <w:t xml:space="preserve">-  A3.1. Diseño de los planes de mitigación como respuesta al riesgo. Definición de los planes de mitigación para los riesgos evaluados, a partir de su riesgo residual, según COSO II. Duración estimada: 3 semanas.</w:t>
      </w:r>
    </w:p>
    <w:p>
      <w:pPr>
        <w:pStyle w:val="Vineta"/>
      </w:pPr>
      <w:r>
        <w:t xml:space="preserve">-  A3.2. Diseño de la capa de gobernanza del sistema. Definición de roles y responsabilidades, taxonomía de riesgos, indicadores clave de riesgo y esquema de monitoreo y reporte del sistema de gestión de riesgos. Duración estimada: 3 semanas.</w:t>
      </w:r>
    </w:p>
    <w:p>
      <w:pPr>
        <w:pStyle w:val="Vineta"/>
      </w:pPr>
      <w:r>
        <w:t xml:space="preserve">-  A3.3. Integración y validación del sistema de gestión de riesgos. Integración del catálogo de riesgos, los planes de mitigación y la capa de gobernanza en el sistema, y su validación formal con los dueños de proceso a nivel corporativo. Condición de cumplimiento: sistema validado. Duración estimada: 2 semanas.</w:t>
      </w:r>
    </w:p>
    <w:p>
      <w:pPr>
        <w:pStyle w:val="Vineta"/>
      </w:pPr>
      <w:r>
        <w:t xml:space="preserve">-  A3.4. Entrega del sistema de gestión de riesgos a la alta gerencia. Presentación del sistema de gestión de riesgos COSO II para MP8 y MP21 a la alta gerencia de Celulosa Arauco y Constitución S.A. Condición de cumplimiento: acta de entrega y recepción conforme. Duración estimada: 1 semana.</w:t>
      </w:r>
    </w:p>
    <w:p>
      <w:pPr>
        <w:pStyle w:val="Heading2"/>
      </w:pPr>
      <w:r>
        <w:t xml:space="preserve">A.4. ACTIVIDADES GENERALES</w:t>
      </w:r>
    </w:p>
    <w:p>
      <w:pPr>
        <w:pStyle w:val="Vineta"/>
      </w:pPr>
      <w:r>
        <w:t xml:space="preserve">-  A-G. Documentación y redacción del Trabajo Final de Grado. Actividad transversal a todo el período de ejecución, orientada a la redacción progresiva del informe. Duración: todo el período.</w:t>
      </w:r>
    </w:p>
    <w:p>
      <w:pPr>
        <w:pStyle w:val="Vineta"/>
      </w:pPr>
      <w:r>
        <w:t xml:space="preserve">-  A-P1. Primera presentación de avance. Presentación de resultados de OE1 y avance de OE2 ante el Comité Evaluador. Semana 10.</w:t>
      </w:r>
    </w:p>
    <w:p>
      <w:pPr>
        <w:pStyle w:val="Vineta"/>
      </w:pPr>
      <w:r>
        <w:t xml:space="preserve">-  A-P2. Segunda presentación de avance. Presentación de resultados de OE2 y avance de OE3 ante el Comité Evaluador. Semana 16.</w:t>
      </w:r>
    </w:p>
    <w:p>
      <w:pPr>
        <w:pStyle w:val="Vineta"/>
      </w:pPr>
      <w:r>
        <w:t xml:space="preserve">-  A-PF. Presentación final. Defensa del trabajo completo ante la Comisión Evaluadora. Semana 20.</w:t>
      </w:r>
    </w:p>
    <w:p>
      <w:pPr>
        <w:pStyle w:val="Heading1"/>
      </w:pPr>
      <w:r>
        <w:t xml:space="preserve">ANEXO B. CARTA GANTT</w:t>
      </w:r>
    </w:p>
    <w:p>
      <w:r>
        <w:t xml:space="preserve">La carta Gantt que se presenta a continuación representa la secuencia y el paralelismo de las actividades descritas en el Anexo A, distribuidas en un horizonte de 20 semanas a partir de la aprobación del anteproyecto. Las semanas S1 a S20 corresponden aproximadamente al período comprendido entre agosto de 2026 y enero de 2027.</w:t>
      </w:r>
    </w:p>
    <w:p>
      <w:pPr>
        <w:pStyle w:val="Caption"/>
        <w:keepNext/>
      </w:pPr>
      <w:r>
        <w:rPr>
          <w:b/>
        </w:rPr>
        <w:t xml:space="preserve">Tabla </w:t>
      </w:r>
      <w:fldSimple w:dirty="true" w:instr=" SEQ Tabla \* ARABIC ">
        <w:r>
          <w:t xml:space="preserve">1</w:t>
        </w:r>
      </w:fldSimple>
      <w:r>
        <w:rPr>
          <w:b/>
        </w:rPr>
        <w:t xml:space="preserve">. </w:t>
      </w:r>
      <w:r>
        <w:t xml:space="preserve">Carta Gantt replanificada del plan de trabajo.</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860"/>
        <w:gridCol w:w="413"/>
        <w:gridCol w:w="413"/>
        <w:gridCol w:w="413"/>
        <w:gridCol w:w="413"/>
        <w:gridCol w:w="413"/>
        <w:gridCol w:w="413"/>
        <w:gridCol w:w="413"/>
        <w:gridCol w:w="413"/>
        <w:gridCol w:w="413"/>
        <w:gridCol w:w="413"/>
        <w:gridCol w:w="413"/>
        <w:gridCol w:w="413"/>
        <w:gridCol w:w="413"/>
        <w:gridCol w:w="413"/>
        <w:gridCol w:w="413"/>
        <w:gridCol w:w="413"/>
        <w:gridCol w:w="413"/>
        <w:gridCol w:w="413"/>
        <w:gridCol w:w="413"/>
        <w:gridCol w:w="413"/>
      </w:tblGrid>
      <w:tr>
        <w:trPr>
          <w:tblHeader/>
        </w:trPr>
        <w:tc>
          <w:tcPr>
            <w:tcW w:w="860" w:type="dxa"/>
            <w:shd w:val="clear" w:color="auto" w:fill="D9D9D9"/>
            <w:vAlign w:val="center"/>
          </w:tcPr>
          <w:p>
            <w:pPr>
              <w:spacing w:before="20" w:after="20" w:line="240" w:lineRule="auto"/>
              <w:jc w:val="center"/>
              <w:rPr>
                <w:sz w:val="14"/>
                <w:szCs w:val="14"/>
              </w:rPr>
            </w:pPr>
            <w:r>
              <w:rPr>
                <w:b/>
                <w:sz w:val="14"/>
                <w:szCs w:val="14"/>
              </w:rPr>
              <w:t xml:space="preserve">Actividad</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w:t>
            </w:r>
          </w:p>
        </w:tc>
        <w:tc>
          <w:tcPr>
            <w:tcW w:w="413" w:type="dxa"/>
            <w:shd w:val="clear" w:color="auto" w:fill="D9D9D9"/>
            <w:vAlign w:val="center"/>
          </w:tcPr>
          <w:p>
            <w:pPr>
              <w:spacing w:before="20" w:after="20" w:line="240" w:lineRule="auto"/>
              <w:jc w:val="center"/>
              <w:rPr>
                <w:sz w:val="14"/>
                <w:szCs w:val="14"/>
              </w:rPr>
            </w:pPr>
            <w:r>
              <w:rPr>
                <w:b/>
                <w:sz w:val="14"/>
                <w:szCs w:val="14"/>
              </w:rPr>
              <w:t xml:space="preserve">S2</w:t>
            </w:r>
          </w:p>
        </w:tc>
        <w:tc>
          <w:tcPr>
            <w:tcW w:w="413" w:type="dxa"/>
            <w:shd w:val="clear" w:color="auto" w:fill="D9D9D9"/>
            <w:vAlign w:val="center"/>
          </w:tcPr>
          <w:p>
            <w:pPr>
              <w:spacing w:before="20" w:after="20" w:line="240" w:lineRule="auto"/>
              <w:jc w:val="center"/>
              <w:rPr>
                <w:sz w:val="14"/>
                <w:szCs w:val="14"/>
              </w:rPr>
            </w:pPr>
            <w:r>
              <w:rPr>
                <w:b/>
                <w:sz w:val="14"/>
                <w:szCs w:val="14"/>
              </w:rPr>
              <w:t xml:space="preserve">S3</w:t>
            </w:r>
          </w:p>
        </w:tc>
        <w:tc>
          <w:tcPr>
            <w:tcW w:w="413" w:type="dxa"/>
            <w:shd w:val="clear" w:color="auto" w:fill="D9D9D9"/>
            <w:vAlign w:val="center"/>
          </w:tcPr>
          <w:p>
            <w:pPr>
              <w:spacing w:before="20" w:after="20" w:line="240" w:lineRule="auto"/>
              <w:jc w:val="center"/>
              <w:rPr>
                <w:sz w:val="14"/>
                <w:szCs w:val="14"/>
              </w:rPr>
            </w:pPr>
            <w:r>
              <w:rPr>
                <w:b/>
                <w:sz w:val="14"/>
                <w:szCs w:val="14"/>
              </w:rPr>
              <w:t xml:space="preserve">S4</w:t>
            </w:r>
          </w:p>
        </w:tc>
        <w:tc>
          <w:tcPr>
            <w:tcW w:w="413" w:type="dxa"/>
            <w:shd w:val="clear" w:color="auto" w:fill="D9D9D9"/>
            <w:vAlign w:val="center"/>
          </w:tcPr>
          <w:p>
            <w:pPr>
              <w:spacing w:before="20" w:after="20" w:line="240" w:lineRule="auto"/>
              <w:jc w:val="center"/>
              <w:rPr>
                <w:sz w:val="14"/>
                <w:szCs w:val="14"/>
              </w:rPr>
            </w:pPr>
            <w:r>
              <w:rPr>
                <w:b/>
                <w:sz w:val="14"/>
                <w:szCs w:val="14"/>
              </w:rPr>
              <w:t xml:space="preserve">S5</w:t>
            </w:r>
          </w:p>
        </w:tc>
        <w:tc>
          <w:tcPr>
            <w:tcW w:w="413" w:type="dxa"/>
            <w:shd w:val="clear" w:color="auto" w:fill="D9D9D9"/>
            <w:vAlign w:val="center"/>
          </w:tcPr>
          <w:p>
            <w:pPr>
              <w:spacing w:before="20" w:after="20" w:line="240" w:lineRule="auto"/>
              <w:jc w:val="center"/>
              <w:rPr>
                <w:sz w:val="14"/>
                <w:szCs w:val="14"/>
              </w:rPr>
            </w:pPr>
            <w:r>
              <w:rPr>
                <w:b/>
                <w:sz w:val="14"/>
                <w:szCs w:val="14"/>
              </w:rPr>
              <w:t xml:space="preserve">S6</w:t>
            </w:r>
          </w:p>
        </w:tc>
        <w:tc>
          <w:tcPr>
            <w:tcW w:w="413" w:type="dxa"/>
            <w:shd w:val="clear" w:color="auto" w:fill="D9D9D9"/>
            <w:vAlign w:val="center"/>
          </w:tcPr>
          <w:p>
            <w:pPr>
              <w:spacing w:before="20" w:after="20" w:line="240" w:lineRule="auto"/>
              <w:jc w:val="center"/>
              <w:rPr>
                <w:sz w:val="14"/>
                <w:szCs w:val="14"/>
              </w:rPr>
            </w:pPr>
            <w:r>
              <w:rPr>
                <w:b/>
                <w:sz w:val="14"/>
                <w:szCs w:val="14"/>
              </w:rPr>
              <w:t xml:space="preserve">S7</w:t>
            </w:r>
          </w:p>
        </w:tc>
        <w:tc>
          <w:tcPr>
            <w:tcW w:w="413" w:type="dxa"/>
            <w:shd w:val="clear" w:color="auto" w:fill="D9D9D9"/>
            <w:vAlign w:val="center"/>
          </w:tcPr>
          <w:p>
            <w:pPr>
              <w:spacing w:before="20" w:after="20" w:line="240" w:lineRule="auto"/>
              <w:jc w:val="center"/>
              <w:rPr>
                <w:sz w:val="14"/>
                <w:szCs w:val="14"/>
              </w:rPr>
            </w:pPr>
            <w:r>
              <w:rPr>
                <w:b/>
                <w:sz w:val="14"/>
                <w:szCs w:val="14"/>
              </w:rPr>
              <w:t xml:space="preserve">S8</w:t>
            </w:r>
          </w:p>
        </w:tc>
        <w:tc>
          <w:tcPr>
            <w:tcW w:w="413" w:type="dxa"/>
            <w:shd w:val="clear" w:color="auto" w:fill="D9D9D9"/>
            <w:vAlign w:val="center"/>
          </w:tcPr>
          <w:p>
            <w:pPr>
              <w:spacing w:before="20" w:after="20" w:line="240" w:lineRule="auto"/>
              <w:jc w:val="center"/>
              <w:rPr>
                <w:sz w:val="14"/>
                <w:szCs w:val="14"/>
              </w:rPr>
            </w:pPr>
            <w:r>
              <w:rPr>
                <w:b/>
                <w:sz w:val="14"/>
                <w:szCs w:val="14"/>
              </w:rPr>
              <w:t xml:space="preserve">S9</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S10</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S11</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S12</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S13</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S14</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S15</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S16</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S17</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S18</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S19</w:t>
            </w:r>
          </w:p>
        </w:tc>
        <w:tc>
          <w:tcPr>
            <w:tcW w:w="413" w:type="dxa"/>
            <w:shd w:val="clear" w:color="auto" w:fill="D9D9D9"/>
            <w:vAlign w:val="center"/>
          </w:tcPr>
          <w:p>
            <w:pPr>
              <w:spacing w:before="20" w:after="20" w:line="240" w:lineRule="auto"/>
              <w:jc w:val="center"/>
              <w:rPr>
                <w:sz w:val="14"/>
                <w:szCs w:val="14"/>
              </w:rPr>
            </w:pPr>
            <w:r>
              <w:rPr>
                <w:b/>
                <w:sz w:val="14"/>
                <w:szCs w:val="14"/>
              </w:rPr>
              <w:t xml:space="preserve">S20</w:t>
            </w:r>
          </w:p>
        </w:tc>
      </w:tr>
      <w:tr>
        <w:tc>
          <w:tcPr>
            <w:tcW w:w="860" w:type="dxa"/>
            <w:vAlign w:val="center"/>
          </w:tcPr>
          <w:p>
            <w:pPr>
              <w:spacing w:before="20" w:after="20" w:line="240" w:lineRule="auto"/>
              <w:jc w:val="left"/>
              <w:rPr>
                <w:sz w:val="14"/>
                <w:szCs w:val="14"/>
              </w:rPr>
            </w:pPr>
            <w:r>
              <w:rPr>
                <w:sz w:val="14"/>
                <w:szCs w:val="14"/>
              </w:rPr>
              <w:t xml:space="preserve">A1.1</w:t>
            </w:r>
          </w:p>
        </w:tc>
        <w:tc>
          <w:tcPr>
            <w:tcW w:w="413" w:type="dxa"/>
            <w:shd w:val="clear" w:color="auto" w:fill="404040"/>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A1.2</w:t>
            </w:r>
          </w:p>
        </w:tc>
        <w:tc>
          <w:tcPr>
            <w:tcW w:w="413" w:type="dxa"/>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A1.3.1</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A1.3.2</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A1.4.1</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A1.4.2</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A1.5</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A1.6</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A2.1</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A2.2</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A2.3</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A2.4</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A3.1</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A3.2</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A3.3</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A3.4</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A-G</w:t>
            </w: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A-P1</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A-P2</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A-PF</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r>
    </w:tbl>
    <w:p>
      <w:pPr>
        <w:pStyle w:val="Fuente"/>
      </w:pPr>
      <w:r>
        <w:t xml:space="preserve">Fuente: Elaboración propia. El tono más oscuro indica las actividades completadas a la fecha del informe, el tono intermedio las que se encuentran en ejecución y el tono claro las pendientes.</w:t>
      </w:r>
    </w:p>
    <w:p>
      <w:r>
        <w:t xml:space="preserve">La replanificación incorpora tres ajustes respecto de la programación presentada en el anteproyecto. En primer lugar, las actividades A1.3 y A1.4 se desdoblan en el levantamiento del flujo único y la segmentación jerárquica, conforme a lo expuesto en el apartado 2.3.1. En segundo lugar, la primera presentación de avance se sitúa en la semana 5, que es la semana en que efectivamente se realiza el hito, en lugar de la semana 10 originalmente prevista. En tercer lugar, las actividades de los objetivos específicos 2 y 3 se reordenan para preservar el horizonte total de 20 semanas.</w:t>
      </w:r>
    </w:p>
    <w:p>
      <w:r>
        <w:t xml:space="preserve">Las semanas asignadas a la segunda presentación de avance y a la presentación final se confirmarán con la Dirección del Programa; la planificación vigente las sitúa provisionalmente en las semanas 13 y 20, respectivamente.</w:t>
      </w:r>
    </w:p>
    <w:p>
      <w:pPr>
        <w:pStyle w:val="Heading1"/>
      </w:pPr>
      <w:r>
        <w:t xml:space="preserve">ANEXO C. INFRAESTRUCTURA DISPONIBLE Y RECURSOS</w:t>
      </w:r>
    </w:p>
    <w:p>
      <w:r>
        <w:t xml:space="preserve">Los medios y recursos con que se cuenta para el desarrollo de este trabajo son los siguientes:</w:t>
      </w:r>
    </w:p>
    <w:p>
      <w:pPr>
        <w:pStyle w:val="Vineta"/>
      </w:pPr>
      <w:r>
        <w:t xml:space="preserve">-  En la actividad A1.1, de revisión documental, se accede a los archivos internos y a los sistemas de gestión documental de Arauco. El acceso a estos recursos está garantizado por la condición del investigador como ingeniero de gestión de procesos en la compañía.</w:t>
      </w:r>
    </w:p>
    <w:p>
      <w:pPr>
        <w:pStyle w:val="Vineta"/>
      </w:pPr>
      <w:r>
        <w:t xml:space="preserve">-  En las actividades de entrevistas y talleres, correspondientes a A1.2, A2.1, A2.2, A3.1 y A3.3, se cuenta con la disponibilidad de los dueños de proceso de MP8 y MP21 a nivel corporativo, quienes han manifestado formalmente su disposición a participar en el desarrollo del trabajo.</w:t>
      </w:r>
    </w:p>
    <w:p>
      <w:pPr>
        <w:pStyle w:val="Vineta"/>
      </w:pPr>
      <w:r>
        <w:t xml:space="preserve">-  En las actividades de modelamiento, A1.3 y A1.4, se utiliza el Process Classification Framework v8.0 de APQC como referencia de clasificación, disponible en acceso público a través del sitio web de la organización.</w:t>
      </w:r>
    </w:p>
    <w:p>
      <w:pPr>
        <w:pStyle w:val="Vineta"/>
      </w:pPr>
      <w:r>
        <w:t xml:space="preserve">-  En las actividades de consolidación y elaboración de entregables, A1.5, A2.3, A3.1 y A3.2, se emplean herramientas de ofimática estándar disponibles a través de la licencia corporativa de Arauco.</w:t>
      </w:r>
    </w:p>
    <w:p>
      <w:pPr>
        <w:pStyle w:val="Vineta"/>
      </w:pPr>
      <w:r>
        <w:t xml:space="preserve">-  En las actividades de evaluación de riesgos y diseño del sistema, A2.1, A2.2 y A3.1, se utiliza la metodología COSO II, en sus versiones de 2004 y 2017, disponible mediante acceso a la biblioteca virtual de la Universidad de La Frontera.</w:t>
      </w:r>
    </w:p>
    <w:p>
      <w:pPr>
        <w:pStyle w:val="Vineta"/>
      </w:pPr>
      <w:r>
        <w:t xml:space="preserve">-  Para la redacción y el análisis bibliográfico, actividad A-G, se cuenta con acceso a la biblioteca presencial y virtual de la Universidad de La Frontera, incluyendo bases de datos de artículos científicos.</w:t>
      </w:r>
    </w:p>
    <w:p>
      <w:pPr>
        <w:pStyle w:val="Heading1"/>
      </w:pPr>
      <w:r>
        <w:t xml:space="preserve">ANEXO D. PAUTAS DE RECOLECCIÓN DE DATOS</w:t>
      </w:r>
    </w:p>
    <w:p>
      <w:r>
        <w:t xml:space="preserve">La pauta de registro documental utilizada en A1.1, la pauta de entrevista semiestructurada aplicada en A1.2, la ficha de documentación por nivel jerárquico y la pauta de taller de análisis de riesgo con sus escalas de probabilidad e impacto se incorporarán al Anexo D en la versión final de los instrumentos.</w:t>
      </w:r>
    </w:p>
    <w:p>
      <w:pPr>
        <w:pStyle w:val="Heading1"/>
      </w:pPr>
      <w:r>
        <w:t xml:space="preserve">ANEXO E. CARTA DE COMPROMISO DE LA EMPRESA</w:t>
      </w:r>
    </w:p>
    <w:p>
      <w:r>
        <w:t xml:space="preserve">La carta de compromiso de Celulosa Arauco y Constitución S.A., que respalda el acceso a la información y la participación de los dueños de proceso, se incorporará al Anexo E una vez formalizada su autorización de circulación.</w:t>
      </w:r>
    </w:p>
    <w:sectPr>
      <w:footerReference w:type="default" r:id="rId3"/>
      <w:pgSz w:w="12240" w:h="15840"/>
      <w:pgMar w:top="1417" w:right="1417" w:bottom="1417" w:left="1701" w:header="708" w:footer="708" w:gutter="0"/>
      <w:docGrid w:linePitch="360"/>
      <w:pgNumType w:start="1"/>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070"/>
      </w:tabs>
      <w:spacing w:before="0" w:after="0" w:line="240" w:lineRule="auto"/>
      <w:jc w:val="left"/>
      <w:pBdr>
        <w:top w:val="single" w:sz="4" w:space="4" w:color="BFBFBF"/>
      </w:pBdr>
      <w:rPr>
        <w:sz w:val="18"/>
        <w:szCs w:val="18"/>
      </w:rPr>
    </w:pPr>
    <w:r>
      <w:rPr>
        <w:sz w:val="18"/>
        <w:szCs w:val="18"/>
      </w:rPr>
      <w:t xml:space="preserve">Propuesta de un sistema de gestión de riesgos para MP8 y MP21 · Celulosa Arauco y Constitución S.A.</w:t>
    </w:r>
    <w:r>
      <w:rPr>
        <w:sz w:val="18"/>
      </w:rPr>
      <w:tab/>
    </w:r>
    <w:fldSimple w:dirty="true" w:instr=" PAGE ">
      <w:r>
        <w:t xml:space="preserve">1</w:t>
      </w:r>
    </w:fldSimple>
  </w:p>
</w:ftr>
</file>

<file path=word/settings.xml><?xml version="1.0" encoding="utf-8"?>
<w:settings xmlns:w="http://schemas.openxmlformats.org/wordprocessingml/2006/main">
  <w:zoom w:percent="100"/>
  <w:updateFields w:val="true"/>
  <w:defaultTabStop w:val="708"/>
  <w:characterSpacingControl w:val="doNotCompress"/>
</w:settings>
</file>

<file path=word/styles.xml><?xml version="1.0" encoding="utf-8"?>
<w:styles xmlns:w="http://schemas.openxmlformats.org/wordprocessingml/2006/main">
  <w:docDefaults>
    <w:rPrDefault>
      <w:rPr>
        <w:rFonts w:ascii="Arial" w:hAnsi="Arial" w:eastAsia="Arial" w:cs="Arial"/>
        <w:sz w:val="24"/>
        <w:szCs w:val="24"/>
        <w:lang w:val="es-CL"/>
      </w:rPr>
    </w:rPrDefault>
    <w:pPrDefault>
      <w:pPr>
        <w:spacing w:before="120" w:after="0" w:line="360" w:lineRule="auto"/>
        <w:ind w:left="0" w:right="0" w:firstLine="0"/>
        <w:jc w:val="both"/>
      </w:pPr>
    </w:pPrDefault>
  </w:docDefaults>
  <w:style w:type="paragraph" w:default="1" w:styleId="Normal">
    <w:name w:val="Normal"/>
    <w:qFormat/>
  </w:style>
  <w:style w:type="paragraph" w:styleId="Heading1">
    <w:name w:val="heading 1"/>
    <w:basedOn w:val="Normal"/>
    <w:next w:val="Normal"/>
    <w:qFormat/>
    <w:pPr>
      <w:outlineLvl w:val="0"/>
      <w:pageBreakBefore/>
      <w:keepNext/>
      <w:spacing w:before="0" w:after="240" w:line="360" w:lineRule="auto"/>
      <w:jc w:val="left"/>
    </w:pPr>
    <w:rPr>
      <w:b/>
      <w:caps/>
      <w:sz w:val="24"/>
      <w:szCs w:val="24"/>
    </w:rPr>
  </w:style>
  <w:style w:type="paragraph" w:styleId="Heading2">
    <w:name w:val="heading 2"/>
    <w:basedOn w:val="Normal"/>
    <w:next w:val="Normal"/>
    <w:qFormat/>
    <w:pPr>
      <w:outlineLvl w:val="1"/>
      <w:keepNext/>
      <w:spacing w:before="360" w:after="120" w:line="360" w:lineRule="auto"/>
      <w:jc w:val="left"/>
    </w:pPr>
    <w:rPr>
      <w:b/>
      <w:caps/>
      <w:sz w:val="24"/>
      <w:szCs w:val="24"/>
    </w:rPr>
  </w:style>
  <w:style w:type="paragraph" w:styleId="Heading3">
    <w:name w:val="heading 3"/>
    <w:basedOn w:val="Normal"/>
    <w:next w:val="Normal"/>
    <w:qFormat/>
    <w:pPr>
      <w:outlineLvl w:val="2"/>
      <w:keepNext/>
      <w:spacing w:before="240" w:after="120" w:line="360" w:lineRule="auto"/>
      <w:jc w:val="left"/>
    </w:pPr>
    <w:rPr>
      <w:b/>
      <w:sz w:val="24"/>
      <w:szCs w:val="24"/>
    </w:rPr>
  </w:style>
  <w:style w:type="paragraph" w:styleId="Portada">
    <w:name w:val="Portada"/>
    <w:basedOn w:val="Normal"/>
    <w:next w:val="Normal"/>
    <w:qFormat/>
    <w:pPr>
      <w:spacing w:before="120" w:after="120" w:line="360" w:lineRule="auto"/>
      <w:jc w:val="center"/>
    </w:pPr>
    <w:rPr>
      <w:b/>
    </w:rPr>
  </w:style>
  <w:style w:type="paragraph" w:styleId="Caption">
    <w:name w:val="caption"/>
    <w:basedOn w:val="Normal"/>
    <w:next w:val="Normal"/>
    <w:qFormat/>
    <w:pPr>
      <w:keepNext/>
      <w:spacing w:before="240" w:after="60" w:line="240" w:lineRule="auto"/>
      <w:jc w:val="left"/>
    </w:pPr>
    <w:rPr>
      <w:sz w:val="20"/>
      <w:szCs w:val="20"/>
    </w:rPr>
  </w:style>
  <w:style w:type="paragraph" w:styleId="Fuente">
    <w:name w:val="Fuente"/>
    <w:basedOn w:val="Normal"/>
    <w:next w:val="Normal"/>
    <w:qFormat/>
    <w:pPr>
      <w:spacing w:before="60" w:after="120" w:line="240" w:lineRule="auto"/>
      <w:jc w:val="left"/>
    </w:pPr>
    <w:rPr>
      <w:sz w:val="18"/>
      <w:szCs w:val="18"/>
    </w:rPr>
  </w:style>
  <w:style w:type="paragraph" w:styleId="Referencia">
    <w:name w:val="Referencia bibliografica"/>
    <w:basedOn w:val="Normal"/>
    <w:next w:val="Normal"/>
    <w:qFormat/>
    <w:pPr>
      <w:spacing w:before="0" w:after="240" w:line="360" w:lineRule="auto"/>
      <w:ind w:left="567" w:hanging="567"/>
      <w:jc w:val="left"/>
    </w:pPr>
    <w:rPr/>
  </w:style>
  <w:style w:type="paragraph" w:styleId="Pendiente">
    <w:name w:val="Contenido pendiente"/>
    <w:basedOn w:val="Normal"/>
    <w:next w:val="Normal"/>
    <w:qFormat/>
    <w:pPr>
      <w:spacing w:before="120" w:after="120" w:line="360" w:lineRule="auto"/>
      <w:ind w:left="284"/>
      <w:jc w:val="left"/>
      <w:pBdr>
        <w:left w:val="single" w:sz="18" w:space="8" w:color="808080"/>
      </w:pBdr>
    </w:pPr>
    <w:rPr>
      <w:i/>
    </w:rPr>
  </w:style>
  <w:style w:type="paragraph" w:styleId="Vineta">
    <w:name w:val="Vineta"/>
    <w:basedOn w:val="Normal"/>
    <w:next w:val="Normal"/>
    <w:qFormat/>
    <w:pPr>
      <w:spacing w:before="60" w:after="60" w:line="360" w:lineRule="auto"/>
      <w:ind w:left="567" w:hanging="284"/>
    </w:pPr>
    <w:rPr/>
  </w:style>
  <w:style w:type="paragraph" w:styleId="TOC1">
    <w:name w:val="toc 1"/>
    <w:basedOn w:val="Normal"/>
    <w:next w:val="Normal"/>
    <w:qFormat/>
    <w:pPr>
      <w:tabs>
        <w:tab w:val="right" w:leader="dot" w:pos="9070"/>
      </w:tabs>
      <w:spacing w:before="120" w:after="0" w:line="360" w:lineRule="auto"/>
      <w:jc w:val="left"/>
    </w:pPr>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er" Target="footer1.xml"/>
<Relationship Id="rId4" Type="http://schemas.openxmlformats.org/officeDocument/2006/relationships/image" Target="media/logo.jpeg"/>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PROPUESTA DE UN SISTEMA DE GESTIÓN DE RIESGOS PARA LOS MACROPROCESOS DE GESTIÓN DE PERSONAS (MP8) Y SERVICIOS GENERALES (MP21) DE CELULOSA ARAUCO Y CONSTITUCIÓN S.A.</dc:title>
  <dc:creator>Bastián Darwit Vera</dc:creator>
  <cp:lastModifiedBy>Bastián Darwit Vera</cp:lastModifiedBy>
  <dc:subject>Trabajo Final de Grado, MSGIC, Universidad de La Frontera</dc:subject>
  <cp:revision>1</cp:revision>
</cp:coreProperties>
</file>