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E44C4" w14:textId="77777777" w:rsidR="002742B3" w:rsidRDefault="00000000">
      <w:pPr>
        <w:spacing w:before="240" w:after="120"/>
        <w:jc w:val="center"/>
      </w:pPr>
      <w:r>
        <w:rPr>
          <w:noProof/>
        </w:rPr>
        <w:drawing>
          <wp:inline distT="0" distB="0" distL="0" distR="0" wp14:anchorId="34123161" wp14:editId="38FD1D6C">
            <wp:extent cx="1500000" cy="1260820"/>
            <wp:effectExtent l="0" t="0" r="0" b="0"/>
            <wp:docPr id="100" name="Logo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 institucional"/>
                    <pic:cNvPicPr/>
                  </pic:nvPicPr>
                  <pic:blipFill>
                    <a:blip r:embed="rId7"/>
                    <a:stretch>
                      <a:fillRect/>
                    </a:stretch>
                  </pic:blipFill>
                  <pic:spPr>
                    <a:xfrm>
                      <a:off x="0" y="0"/>
                      <a:ext cx="1500000" cy="1260820"/>
                    </a:xfrm>
                    <a:prstGeom prst="rect">
                      <a:avLst/>
                    </a:prstGeom>
                  </pic:spPr>
                </pic:pic>
              </a:graphicData>
            </a:graphic>
          </wp:inline>
        </w:drawing>
      </w:r>
    </w:p>
    <w:p w14:paraId="7650E9AB" w14:textId="77777777" w:rsidR="00DF1E73" w:rsidRDefault="00000000">
      <w:pPr>
        <w:spacing w:before="600" w:after="120"/>
        <w:jc w:val="center"/>
      </w:pPr>
      <w:r>
        <w:rPr>
          <w:b/>
          <w:bCs/>
          <w:color w:val="000000"/>
          <w:sz w:val="24"/>
          <w:szCs w:val="24"/>
        </w:rPr>
        <w:t>MAGÍSTER EN SISTEMAS DE GESTIÓN INTEGRAL DE LA CALIDAD</w:t>
      </w:r>
    </w:p>
    <w:p w14:paraId="1921367E" w14:textId="77777777" w:rsidR="00DF1E73" w:rsidRDefault="00000000">
      <w:pPr>
        <w:spacing w:before="60" w:after="60"/>
        <w:jc w:val="center"/>
      </w:pPr>
      <w:r>
        <w:rPr>
          <w:color w:val="000000"/>
          <w:sz w:val="22"/>
          <w:szCs w:val="22"/>
        </w:rPr>
        <w:t>FACULTAD DE INGENIERÍA Y CIENCIAS</w:t>
      </w:r>
    </w:p>
    <w:p w14:paraId="2A342C82" w14:textId="77777777" w:rsidR="00DF1E73" w:rsidRDefault="00000000">
      <w:pPr>
        <w:spacing w:before="60" w:after="600"/>
        <w:jc w:val="center"/>
      </w:pPr>
      <w:r>
        <w:rPr>
          <w:color w:val="000000"/>
          <w:sz w:val="22"/>
          <w:szCs w:val="22"/>
        </w:rPr>
        <w:t>UNIVERSIDAD DE LA FRONTERA</w:t>
      </w:r>
    </w:p>
    <w:p w14:paraId="2E9C3B90" w14:textId="77777777" w:rsidR="00DF1E73" w:rsidRDefault="00000000">
      <w:pPr>
        <w:pBdr>
          <w:bottom w:val="single" w:sz="6" w:space="1" w:color="000000"/>
        </w:pBdr>
        <w:spacing w:before="600" w:after="600"/>
        <w:jc w:val="center"/>
      </w:pPr>
      <w:r>
        <w:rPr>
          <w:b/>
          <w:bCs/>
          <w:color w:val="000000"/>
          <w:sz w:val="28"/>
          <w:szCs w:val="28"/>
        </w:rPr>
        <w:t>PROPUESTA DE UN SISTEMA DE GESTIÓN DE RIESGOS BASADO EN LA METODOLOGÍA COSO II PARA LOS MACROPROCESOS DE GESTIÓN DE PERSONAS (MP8) Y SERVICIOS GENERALES (MP21)</w:t>
      </w:r>
      <w:r w:rsidR="00467B64">
        <w:rPr>
          <w:b/>
          <w:bCs/>
          <w:color w:val="000000"/>
          <w:sz w:val="28"/>
          <w:szCs w:val="28"/>
        </w:rPr>
        <w:t xml:space="preserve"> </w:t>
      </w:r>
      <w:r>
        <w:rPr>
          <w:b/>
          <w:bCs/>
          <w:color w:val="000000"/>
          <w:sz w:val="28"/>
          <w:szCs w:val="28"/>
        </w:rPr>
        <w:t>DE CELULOSA ARAUCO Y CONSTITUCIÓN S.A.</w:t>
      </w:r>
    </w:p>
    <w:p w14:paraId="3AA5CFF7" w14:textId="77777777" w:rsidR="00DF1E73" w:rsidRDefault="00DF1E73"/>
    <w:p w14:paraId="0628099B" w14:textId="77777777" w:rsidR="00DF1E73" w:rsidRDefault="00DF1E73"/>
    <w:p w14:paraId="49052EBD" w14:textId="77777777" w:rsidR="00DF1E73" w:rsidRDefault="00DF1E73"/>
    <w:p w14:paraId="66DEE1AC" w14:textId="77777777" w:rsidR="00DF1E73" w:rsidRDefault="00DF1E73"/>
    <w:p w14:paraId="0F847B99" w14:textId="77777777" w:rsidR="00DF1E73" w:rsidRDefault="00000000">
      <w:pPr>
        <w:spacing w:before="200" w:after="100"/>
      </w:pPr>
      <w:r>
        <w:t xml:space="preserve">La investigación propuesta constituye el Proyecto del Trabajo de AFE de </w:t>
      </w:r>
      <w:r>
        <w:rPr>
          <w:b/>
          <w:bCs/>
        </w:rPr>
        <w:t>Bastián Darwit Vera</w:t>
      </w:r>
      <w:r>
        <w:t>, alumno regular del Programa Magíster en Sistemas de Gestión Integral de la Calidad.</w:t>
      </w:r>
    </w:p>
    <w:p w14:paraId="68865693" w14:textId="77777777" w:rsidR="00DF1E73" w:rsidRDefault="00DF1E73"/>
    <w:p w14:paraId="04B435E0" w14:textId="77777777" w:rsidR="00DF1E73" w:rsidRDefault="00DF1E73"/>
    <w:p w14:paraId="10837824" w14:textId="77777777" w:rsidR="00DF1E73" w:rsidRDefault="00000000">
      <w:pPr>
        <w:spacing w:before="100" w:after="100"/>
      </w:pPr>
      <w:r>
        <w:t>Nombre del Profesor Guía: Sonia Salvo Garrido</w:t>
      </w:r>
    </w:p>
    <w:p w14:paraId="1EA4C589" w14:textId="77777777" w:rsidR="00C754AC" w:rsidRDefault="00000000">
      <w:pPr>
        <w:spacing w:before="100" w:after="100"/>
      </w:pPr>
      <w:r>
        <w:t>Nombre del Profesor Co-guía: Manuel Echiburú Fuenzalida</w:t>
      </w:r>
    </w:p>
    <w:p w14:paraId="323AE50C" w14:textId="77777777" w:rsidR="00DF1E73" w:rsidRDefault="00DF1E73"/>
    <w:p w14:paraId="1871D3C1" w14:textId="77777777" w:rsidR="00DF1E73" w:rsidRDefault="00DF1E73"/>
    <w:p w14:paraId="61D55725" w14:textId="77777777" w:rsidR="00DF1E73" w:rsidRDefault="00DF1E73"/>
    <w:p w14:paraId="507D23F2" w14:textId="77777777" w:rsidR="00DF1E73" w:rsidRDefault="00DF1E73"/>
    <w:tbl>
      <w:tblPr>
        <w:tblW w:w="9000" w:type="dxa"/>
        <w:jc w:val="center"/>
        <w:tblBorders>
          <w:top w:val="nil"/>
          <w:left w:val="nil"/>
          <w:bottom w:val="nil"/>
          <w:right w:val="nil"/>
          <w:insideH w:val="nil"/>
          <w:insideV w:val="nil"/>
        </w:tblBorders>
        <w:tblLook w:val="0000" w:firstRow="0" w:lastRow="0" w:firstColumn="0" w:lastColumn="0" w:noHBand="0" w:noVBand="0"/>
      </w:tblPr>
      <w:tblGrid>
        <w:gridCol w:w="3000"/>
        <w:gridCol w:w="3000"/>
        <w:gridCol w:w="3000"/>
      </w:tblGrid>
      <w:tr w:rsidR="00C754AC" w14:paraId="4E5A1A48" w14:textId="77777777">
        <w:trPr>
          <w:jc w:val="center"/>
        </w:trPr>
        <w:tc>
          <w:tcPr>
            <w:tcW w:w="3000" w:type="dxa"/>
            <w:tcBorders>
              <w:top w:val="nil"/>
              <w:left w:val="nil"/>
              <w:bottom w:val="nil"/>
              <w:right w:val="nil"/>
            </w:tcBorders>
          </w:tcPr>
          <w:p w14:paraId="6BD8DE44" w14:textId="77777777" w:rsidR="00C754AC" w:rsidRDefault="00000000">
            <w:pPr>
              <w:spacing w:before="240"/>
              <w:jc w:val="center"/>
            </w:pPr>
            <w:r>
              <w:t>____________________</w:t>
            </w:r>
          </w:p>
          <w:p w14:paraId="79D3D15C" w14:textId="77777777" w:rsidR="00C754AC" w:rsidRDefault="00000000">
            <w:pPr>
              <w:jc w:val="center"/>
            </w:pPr>
            <w:r>
              <w:t>Firma Estudiante</w:t>
            </w:r>
          </w:p>
        </w:tc>
        <w:tc>
          <w:tcPr>
            <w:tcW w:w="3000" w:type="dxa"/>
            <w:tcBorders>
              <w:top w:val="nil"/>
              <w:left w:val="nil"/>
              <w:bottom w:val="nil"/>
              <w:right w:val="nil"/>
            </w:tcBorders>
          </w:tcPr>
          <w:p w14:paraId="4E139D99" w14:textId="77777777" w:rsidR="00C754AC" w:rsidRDefault="00000000">
            <w:pPr>
              <w:spacing w:before="240"/>
              <w:jc w:val="center"/>
            </w:pPr>
            <w:r>
              <w:t>____________________</w:t>
            </w:r>
          </w:p>
          <w:p w14:paraId="6191D511" w14:textId="77777777" w:rsidR="00C754AC" w:rsidRDefault="00000000">
            <w:pPr>
              <w:jc w:val="center"/>
            </w:pPr>
            <w:r>
              <w:t>Firma Profesor Guía</w:t>
            </w:r>
          </w:p>
        </w:tc>
        <w:tc>
          <w:tcPr>
            <w:tcW w:w="3000" w:type="dxa"/>
            <w:tcBorders>
              <w:top w:val="nil"/>
              <w:left w:val="nil"/>
              <w:bottom w:val="nil"/>
              <w:right w:val="nil"/>
            </w:tcBorders>
          </w:tcPr>
          <w:p w14:paraId="32A7C8E4" w14:textId="77777777" w:rsidR="00C754AC" w:rsidRDefault="00000000">
            <w:pPr>
              <w:spacing w:before="240"/>
              <w:jc w:val="center"/>
            </w:pPr>
            <w:r>
              <w:t>____________________</w:t>
            </w:r>
          </w:p>
          <w:p w14:paraId="69D292E4" w14:textId="77777777" w:rsidR="00C754AC" w:rsidRDefault="00000000">
            <w:pPr>
              <w:jc w:val="center"/>
            </w:pPr>
            <w:r>
              <w:t>Firma Profesor Co-guía</w:t>
            </w:r>
          </w:p>
        </w:tc>
      </w:tr>
    </w:tbl>
    <w:p w14:paraId="71AF13BF" w14:textId="77777777" w:rsidR="00C754AC" w:rsidRDefault="00C754AC"/>
    <w:p w14:paraId="64956D30" w14:textId="77777777" w:rsidR="00DF1E73" w:rsidRDefault="00000000">
      <w:r>
        <w:br/>
      </w:r>
    </w:p>
    <w:p w14:paraId="538AAC5E" w14:textId="77777777" w:rsidR="002742B3" w:rsidRDefault="00000000">
      <w:r>
        <w:br w:type="page"/>
      </w:r>
    </w:p>
    <w:p w14:paraId="0A037B80" w14:textId="77777777" w:rsidR="002742B3" w:rsidRDefault="00000000">
      <w:pPr>
        <w:spacing w:before="240" w:after="160"/>
        <w:jc w:val="center"/>
      </w:pPr>
      <w:r>
        <w:rPr>
          <w:b/>
          <w:bCs/>
          <w:color w:val="000000"/>
          <w:sz w:val="24"/>
          <w:szCs w:val="24"/>
        </w:rPr>
        <w:lastRenderedPageBreak/>
        <w:t>ÍNDICE DE CONTENIDOS</w:t>
      </w:r>
    </w:p>
    <w:p w14:paraId="664D3297" w14:textId="3F7A04CC" w:rsidR="00E44137" w:rsidRDefault="00000000">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068761" w:history="1">
        <w:r w:rsidR="00E44137" w:rsidRPr="00DB2FD4">
          <w:rPr>
            <w:rStyle w:val="Hipervnculo"/>
            <w:noProof/>
          </w:rPr>
          <w:t>I. RESUMEN DE LA PROPUESTA DEL TRABAJO DE AFE</w:t>
        </w:r>
        <w:r w:rsidR="00E44137">
          <w:rPr>
            <w:noProof/>
            <w:webHidden/>
          </w:rPr>
          <w:tab/>
        </w:r>
        <w:r w:rsidR="00E44137">
          <w:rPr>
            <w:noProof/>
            <w:webHidden/>
          </w:rPr>
          <w:fldChar w:fldCharType="begin"/>
        </w:r>
        <w:r w:rsidR="00E44137">
          <w:rPr>
            <w:noProof/>
            <w:webHidden/>
          </w:rPr>
          <w:instrText xml:space="preserve"> PAGEREF _Toc234068761 \h </w:instrText>
        </w:r>
        <w:r w:rsidR="00E44137">
          <w:rPr>
            <w:noProof/>
            <w:webHidden/>
          </w:rPr>
        </w:r>
        <w:r w:rsidR="00E44137">
          <w:rPr>
            <w:noProof/>
            <w:webHidden/>
          </w:rPr>
          <w:fldChar w:fldCharType="separate"/>
        </w:r>
        <w:r w:rsidR="00E44137">
          <w:rPr>
            <w:noProof/>
            <w:webHidden/>
          </w:rPr>
          <w:t>3</w:t>
        </w:r>
        <w:r w:rsidR="00E44137">
          <w:rPr>
            <w:noProof/>
            <w:webHidden/>
          </w:rPr>
          <w:fldChar w:fldCharType="end"/>
        </w:r>
      </w:hyperlink>
    </w:p>
    <w:p w14:paraId="3A9AA764" w14:textId="5291CAD9"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2" w:history="1">
        <w:r w:rsidRPr="00DB2FD4">
          <w:rPr>
            <w:rStyle w:val="Hipervnculo"/>
            <w:noProof/>
          </w:rPr>
          <w:t>II. TRABAJO PRÁCTICO PROPUESTO</w:t>
        </w:r>
        <w:r>
          <w:rPr>
            <w:noProof/>
            <w:webHidden/>
          </w:rPr>
          <w:tab/>
        </w:r>
        <w:r>
          <w:rPr>
            <w:noProof/>
            <w:webHidden/>
          </w:rPr>
          <w:fldChar w:fldCharType="begin"/>
        </w:r>
        <w:r>
          <w:rPr>
            <w:noProof/>
            <w:webHidden/>
          </w:rPr>
          <w:instrText xml:space="preserve"> PAGEREF _Toc234068762 \h </w:instrText>
        </w:r>
        <w:r>
          <w:rPr>
            <w:noProof/>
            <w:webHidden/>
          </w:rPr>
        </w:r>
        <w:r>
          <w:rPr>
            <w:noProof/>
            <w:webHidden/>
          </w:rPr>
          <w:fldChar w:fldCharType="separate"/>
        </w:r>
        <w:r>
          <w:rPr>
            <w:noProof/>
            <w:webHidden/>
          </w:rPr>
          <w:t>4</w:t>
        </w:r>
        <w:r>
          <w:rPr>
            <w:noProof/>
            <w:webHidden/>
          </w:rPr>
          <w:fldChar w:fldCharType="end"/>
        </w:r>
      </w:hyperlink>
    </w:p>
    <w:p w14:paraId="5A148DAE" w14:textId="6271A0B1"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3" w:history="1">
        <w:r w:rsidRPr="00DB2FD4">
          <w:rPr>
            <w:rStyle w:val="Hipervnculo"/>
            <w:noProof/>
          </w:rPr>
          <w:t>II.1 Problema y relevancia</w:t>
        </w:r>
        <w:r>
          <w:rPr>
            <w:noProof/>
            <w:webHidden/>
          </w:rPr>
          <w:tab/>
        </w:r>
        <w:r>
          <w:rPr>
            <w:noProof/>
            <w:webHidden/>
          </w:rPr>
          <w:fldChar w:fldCharType="begin"/>
        </w:r>
        <w:r>
          <w:rPr>
            <w:noProof/>
            <w:webHidden/>
          </w:rPr>
          <w:instrText xml:space="preserve"> PAGEREF _Toc234068763 \h </w:instrText>
        </w:r>
        <w:r>
          <w:rPr>
            <w:noProof/>
            <w:webHidden/>
          </w:rPr>
        </w:r>
        <w:r>
          <w:rPr>
            <w:noProof/>
            <w:webHidden/>
          </w:rPr>
          <w:fldChar w:fldCharType="separate"/>
        </w:r>
        <w:r>
          <w:rPr>
            <w:noProof/>
            <w:webHidden/>
          </w:rPr>
          <w:t>4</w:t>
        </w:r>
        <w:r>
          <w:rPr>
            <w:noProof/>
            <w:webHidden/>
          </w:rPr>
          <w:fldChar w:fldCharType="end"/>
        </w:r>
      </w:hyperlink>
    </w:p>
    <w:p w14:paraId="618C2AB2" w14:textId="5F69B193"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4" w:history="1">
        <w:r w:rsidRPr="00DB2FD4">
          <w:rPr>
            <w:rStyle w:val="Hipervnculo"/>
            <w:noProof/>
          </w:rPr>
          <w:t>II.2 Revisión bibliográfica</w:t>
        </w:r>
        <w:r>
          <w:rPr>
            <w:noProof/>
            <w:webHidden/>
          </w:rPr>
          <w:tab/>
        </w:r>
        <w:r>
          <w:rPr>
            <w:noProof/>
            <w:webHidden/>
          </w:rPr>
          <w:fldChar w:fldCharType="begin"/>
        </w:r>
        <w:r>
          <w:rPr>
            <w:noProof/>
            <w:webHidden/>
          </w:rPr>
          <w:instrText xml:space="preserve"> PAGEREF _Toc234068764 \h </w:instrText>
        </w:r>
        <w:r>
          <w:rPr>
            <w:noProof/>
            <w:webHidden/>
          </w:rPr>
        </w:r>
        <w:r>
          <w:rPr>
            <w:noProof/>
            <w:webHidden/>
          </w:rPr>
          <w:fldChar w:fldCharType="separate"/>
        </w:r>
        <w:r>
          <w:rPr>
            <w:noProof/>
            <w:webHidden/>
          </w:rPr>
          <w:t>4</w:t>
        </w:r>
        <w:r>
          <w:rPr>
            <w:noProof/>
            <w:webHidden/>
          </w:rPr>
          <w:fldChar w:fldCharType="end"/>
        </w:r>
      </w:hyperlink>
    </w:p>
    <w:p w14:paraId="594ECA60" w14:textId="28CA646A"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5" w:history="1">
        <w:r w:rsidRPr="00DB2FD4">
          <w:rPr>
            <w:rStyle w:val="Hipervnculo"/>
            <w:noProof/>
          </w:rPr>
          <w:t>II.2.1 Gestión por procesos</w:t>
        </w:r>
        <w:r>
          <w:rPr>
            <w:noProof/>
            <w:webHidden/>
          </w:rPr>
          <w:tab/>
        </w:r>
        <w:r>
          <w:rPr>
            <w:noProof/>
            <w:webHidden/>
          </w:rPr>
          <w:fldChar w:fldCharType="begin"/>
        </w:r>
        <w:r>
          <w:rPr>
            <w:noProof/>
            <w:webHidden/>
          </w:rPr>
          <w:instrText xml:space="preserve"> PAGEREF _Toc234068765 \h </w:instrText>
        </w:r>
        <w:r>
          <w:rPr>
            <w:noProof/>
            <w:webHidden/>
          </w:rPr>
        </w:r>
        <w:r>
          <w:rPr>
            <w:noProof/>
            <w:webHidden/>
          </w:rPr>
          <w:fldChar w:fldCharType="separate"/>
        </w:r>
        <w:r>
          <w:rPr>
            <w:noProof/>
            <w:webHidden/>
          </w:rPr>
          <w:t>5</w:t>
        </w:r>
        <w:r>
          <w:rPr>
            <w:noProof/>
            <w:webHidden/>
          </w:rPr>
          <w:fldChar w:fldCharType="end"/>
        </w:r>
      </w:hyperlink>
    </w:p>
    <w:p w14:paraId="3EB6AB4D" w14:textId="46F57A97"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6" w:history="1">
        <w:r w:rsidRPr="00DB2FD4">
          <w:rPr>
            <w:rStyle w:val="Hipervnculo"/>
            <w:noProof/>
          </w:rPr>
          <w:t>II.2.2 Marcos de referencia para la gestión por procesos</w:t>
        </w:r>
        <w:r>
          <w:rPr>
            <w:noProof/>
            <w:webHidden/>
          </w:rPr>
          <w:tab/>
        </w:r>
        <w:r>
          <w:rPr>
            <w:noProof/>
            <w:webHidden/>
          </w:rPr>
          <w:fldChar w:fldCharType="begin"/>
        </w:r>
        <w:r>
          <w:rPr>
            <w:noProof/>
            <w:webHidden/>
          </w:rPr>
          <w:instrText xml:space="preserve"> PAGEREF _Toc234068766 \h </w:instrText>
        </w:r>
        <w:r>
          <w:rPr>
            <w:noProof/>
            <w:webHidden/>
          </w:rPr>
        </w:r>
        <w:r>
          <w:rPr>
            <w:noProof/>
            <w:webHidden/>
          </w:rPr>
          <w:fldChar w:fldCharType="separate"/>
        </w:r>
        <w:r>
          <w:rPr>
            <w:noProof/>
            <w:webHidden/>
          </w:rPr>
          <w:t>5</w:t>
        </w:r>
        <w:r>
          <w:rPr>
            <w:noProof/>
            <w:webHidden/>
          </w:rPr>
          <w:fldChar w:fldCharType="end"/>
        </w:r>
      </w:hyperlink>
    </w:p>
    <w:p w14:paraId="00D68E6E" w14:textId="33BED149"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7" w:history="1">
        <w:r w:rsidRPr="00DB2FD4">
          <w:rPr>
            <w:rStyle w:val="Hipervnculo"/>
            <w:noProof/>
          </w:rPr>
          <w:t>II.2.3 Madurez operativa de los procesos</w:t>
        </w:r>
        <w:r>
          <w:rPr>
            <w:noProof/>
            <w:webHidden/>
          </w:rPr>
          <w:tab/>
        </w:r>
        <w:r>
          <w:rPr>
            <w:noProof/>
            <w:webHidden/>
          </w:rPr>
          <w:fldChar w:fldCharType="begin"/>
        </w:r>
        <w:r>
          <w:rPr>
            <w:noProof/>
            <w:webHidden/>
          </w:rPr>
          <w:instrText xml:space="preserve"> PAGEREF _Toc234068767 \h </w:instrText>
        </w:r>
        <w:r>
          <w:rPr>
            <w:noProof/>
            <w:webHidden/>
          </w:rPr>
        </w:r>
        <w:r>
          <w:rPr>
            <w:noProof/>
            <w:webHidden/>
          </w:rPr>
          <w:fldChar w:fldCharType="separate"/>
        </w:r>
        <w:r>
          <w:rPr>
            <w:noProof/>
            <w:webHidden/>
          </w:rPr>
          <w:t>5</w:t>
        </w:r>
        <w:r>
          <w:rPr>
            <w:noProof/>
            <w:webHidden/>
          </w:rPr>
          <w:fldChar w:fldCharType="end"/>
        </w:r>
      </w:hyperlink>
    </w:p>
    <w:p w14:paraId="4222C330" w14:textId="67CC3945"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8" w:history="1">
        <w:r w:rsidRPr="00DB2FD4">
          <w:rPr>
            <w:rStyle w:val="Hipervnculo"/>
            <w:noProof/>
          </w:rPr>
          <w:t>II.2.4 Gestión de riesgos y metodología COSO II</w:t>
        </w:r>
        <w:r>
          <w:rPr>
            <w:noProof/>
            <w:webHidden/>
          </w:rPr>
          <w:tab/>
        </w:r>
        <w:r>
          <w:rPr>
            <w:noProof/>
            <w:webHidden/>
          </w:rPr>
          <w:fldChar w:fldCharType="begin"/>
        </w:r>
        <w:r>
          <w:rPr>
            <w:noProof/>
            <w:webHidden/>
          </w:rPr>
          <w:instrText xml:space="preserve"> PAGEREF _Toc234068768 \h </w:instrText>
        </w:r>
        <w:r>
          <w:rPr>
            <w:noProof/>
            <w:webHidden/>
          </w:rPr>
        </w:r>
        <w:r>
          <w:rPr>
            <w:noProof/>
            <w:webHidden/>
          </w:rPr>
          <w:fldChar w:fldCharType="separate"/>
        </w:r>
        <w:r>
          <w:rPr>
            <w:noProof/>
            <w:webHidden/>
          </w:rPr>
          <w:t>5</w:t>
        </w:r>
        <w:r>
          <w:rPr>
            <w:noProof/>
            <w:webHidden/>
          </w:rPr>
          <w:fldChar w:fldCharType="end"/>
        </w:r>
      </w:hyperlink>
    </w:p>
    <w:p w14:paraId="4AA6EF3D" w14:textId="315A793F" w:rsidR="00E44137" w:rsidRDefault="00E44137">
      <w:pPr>
        <w:pStyle w:val="TDC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69" w:history="1">
        <w:r w:rsidRPr="00DB2FD4">
          <w:rPr>
            <w:rStyle w:val="Hipervnculo"/>
            <w:noProof/>
          </w:rPr>
          <w:t>II.2.5 Sistemas de gestión de riesgos</w:t>
        </w:r>
        <w:r>
          <w:rPr>
            <w:noProof/>
            <w:webHidden/>
          </w:rPr>
          <w:tab/>
        </w:r>
        <w:r>
          <w:rPr>
            <w:noProof/>
            <w:webHidden/>
          </w:rPr>
          <w:fldChar w:fldCharType="begin"/>
        </w:r>
        <w:r>
          <w:rPr>
            <w:noProof/>
            <w:webHidden/>
          </w:rPr>
          <w:instrText xml:space="preserve"> PAGEREF _Toc234068769 \h </w:instrText>
        </w:r>
        <w:r>
          <w:rPr>
            <w:noProof/>
            <w:webHidden/>
          </w:rPr>
        </w:r>
        <w:r>
          <w:rPr>
            <w:noProof/>
            <w:webHidden/>
          </w:rPr>
          <w:fldChar w:fldCharType="separate"/>
        </w:r>
        <w:r>
          <w:rPr>
            <w:noProof/>
            <w:webHidden/>
          </w:rPr>
          <w:t>6</w:t>
        </w:r>
        <w:r>
          <w:rPr>
            <w:noProof/>
            <w:webHidden/>
          </w:rPr>
          <w:fldChar w:fldCharType="end"/>
        </w:r>
      </w:hyperlink>
    </w:p>
    <w:p w14:paraId="0134E48F" w14:textId="11512EA1"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0" w:history="1">
        <w:r w:rsidRPr="00DB2FD4">
          <w:rPr>
            <w:rStyle w:val="Hipervnculo"/>
            <w:noProof/>
          </w:rPr>
          <w:t>II.3 Caso de estudio</w:t>
        </w:r>
        <w:r>
          <w:rPr>
            <w:noProof/>
            <w:webHidden/>
          </w:rPr>
          <w:tab/>
        </w:r>
        <w:r>
          <w:rPr>
            <w:noProof/>
            <w:webHidden/>
          </w:rPr>
          <w:fldChar w:fldCharType="begin"/>
        </w:r>
        <w:r>
          <w:rPr>
            <w:noProof/>
            <w:webHidden/>
          </w:rPr>
          <w:instrText xml:space="preserve"> PAGEREF _Toc234068770 \h </w:instrText>
        </w:r>
        <w:r>
          <w:rPr>
            <w:noProof/>
            <w:webHidden/>
          </w:rPr>
        </w:r>
        <w:r>
          <w:rPr>
            <w:noProof/>
            <w:webHidden/>
          </w:rPr>
          <w:fldChar w:fldCharType="separate"/>
        </w:r>
        <w:r>
          <w:rPr>
            <w:noProof/>
            <w:webHidden/>
          </w:rPr>
          <w:t>6</w:t>
        </w:r>
        <w:r>
          <w:rPr>
            <w:noProof/>
            <w:webHidden/>
          </w:rPr>
          <w:fldChar w:fldCharType="end"/>
        </w:r>
      </w:hyperlink>
    </w:p>
    <w:p w14:paraId="6530FCEA" w14:textId="4807E0DE"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1" w:history="1">
        <w:r w:rsidRPr="00DB2FD4">
          <w:rPr>
            <w:rStyle w:val="Hipervnculo"/>
            <w:noProof/>
          </w:rPr>
          <w:t>II.4 Contexto organizacional: Arauco y el Modelo de Gestión Operacional</w:t>
        </w:r>
        <w:r>
          <w:rPr>
            <w:noProof/>
            <w:webHidden/>
          </w:rPr>
          <w:tab/>
        </w:r>
        <w:r>
          <w:rPr>
            <w:noProof/>
            <w:webHidden/>
          </w:rPr>
          <w:fldChar w:fldCharType="begin"/>
        </w:r>
        <w:r>
          <w:rPr>
            <w:noProof/>
            <w:webHidden/>
          </w:rPr>
          <w:instrText xml:space="preserve"> PAGEREF _Toc234068771 \h </w:instrText>
        </w:r>
        <w:r>
          <w:rPr>
            <w:noProof/>
            <w:webHidden/>
          </w:rPr>
        </w:r>
        <w:r>
          <w:rPr>
            <w:noProof/>
            <w:webHidden/>
          </w:rPr>
          <w:fldChar w:fldCharType="separate"/>
        </w:r>
        <w:r>
          <w:rPr>
            <w:noProof/>
            <w:webHidden/>
          </w:rPr>
          <w:t>7</w:t>
        </w:r>
        <w:r>
          <w:rPr>
            <w:noProof/>
            <w:webHidden/>
          </w:rPr>
          <w:fldChar w:fldCharType="end"/>
        </w:r>
      </w:hyperlink>
    </w:p>
    <w:p w14:paraId="23639B57" w14:textId="53F43B49"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2" w:history="1">
        <w:r w:rsidRPr="00DB2FD4">
          <w:rPr>
            <w:rStyle w:val="Hipervnculo"/>
            <w:noProof/>
          </w:rPr>
          <w:t>III. OBJETIVOS</w:t>
        </w:r>
        <w:r>
          <w:rPr>
            <w:noProof/>
            <w:webHidden/>
          </w:rPr>
          <w:tab/>
        </w:r>
        <w:r>
          <w:rPr>
            <w:noProof/>
            <w:webHidden/>
          </w:rPr>
          <w:fldChar w:fldCharType="begin"/>
        </w:r>
        <w:r>
          <w:rPr>
            <w:noProof/>
            <w:webHidden/>
          </w:rPr>
          <w:instrText xml:space="preserve"> PAGEREF _Toc234068772 \h </w:instrText>
        </w:r>
        <w:r>
          <w:rPr>
            <w:noProof/>
            <w:webHidden/>
          </w:rPr>
        </w:r>
        <w:r>
          <w:rPr>
            <w:noProof/>
            <w:webHidden/>
          </w:rPr>
          <w:fldChar w:fldCharType="separate"/>
        </w:r>
        <w:r>
          <w:rPr>
            <w:noProof/>
            <w:webHidden/>
          </w:rPr>
          <w:t>8</w:t>
        </w:r>
        <w:r>
          <w:rPr>
            <w:noProof/>
            <w:webHidden/>
          </w:rPr>
          <w:fldChar w:fldCharType="end"/>
        </w:r>
      </w:hyperlink>
    </w:p>
    <w:p w14:paraId="3F4B20FD" w14:textId="3B54015A"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3" w:history="1">
        <w:r w:rsidRPr="00DB2FD4">
          <w:rPr>
            <w:rStyle w:val="Hipervnculo"/>
            <w:noProof/>
          </w:rPr>
          <w:t>IV. METODOLOGÍA</w:t>
        </w:r>
        <w:r>
          <w:rPr>
            <w:noProof/>
            <w:webHidden/>
          </w:rPr>
          <w:tab/>
        </w:r>
        <w:r>
          <w:rPr>
            <w:noProof/>
            <w:webHidden/>
          </w:rPr>
          <w:fldChar w:fldCharType="begin"/>
        </w:r>
        <w:r>
          <w:rPr>
            <w:noProof/>
            <w:webHidden/>
          </w:rPr>
          <w:instrText xml:space="preserve"> PAGEREF _Toc234068773 \h </w:instrText>
        </w:r>
        <w:r>
          <w:rPr>
            <w:noProof/>
            <w:webHidden/>
          </w:rPr>
        </w:r>
        <w:r>
          <w:rPr>
            <w:noProof/>
            <w:webHidden/>
          </w:rPr>
          <w:fldChar w:fldCharType="separate"/>
        </w:r>
        <w:r>
          <w:rPr>
            <w:noProof/>
            <w:webHidden/>
          </w:rPr>
          <w:t>8</w:t>
        </w:r>
        <w:r>
          <w:rPr>
            <w:noProof/>
            <w:webHidden/>
          </w:rPr>
          <w:fldChar w:fldCharType="end"/>
        </w:r>
      </w:hyperlink>
    </w:p>
    <w:p w14:paraId="403D4F38" w14:textId="33ACF183"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4" w:history="1">
        <w:r w:rsidRPr="00DB2FD4">
          <w:rPr>
            <w:rStyle w:val="Hipervnculo"/>
            <w:noProof/>
          </w:rPr>
          <w:t>V. PLAN DE TRABAJO</w:t>
        </w:r>
        <w:r>
          <w:rPr>
            <w:noProof/>
            <w:webHidden/>
          </w:rPr>
          <w:tab/>
        </w:r>
        <w:r>
          <w:rPr>
            <w:noProof/>
            <w:webHidden/>
          </w:rPr>
          <w:fldChar w:fldCharType="begin"/>
        </w:r>
        <w:r>
          <w:rPr>
            <w:noProof/>
            <w:webHidden/>
          </w:rPr>
          <w:instrText xml:space="preserve"> PAGEREF _Toc234068774 \h </w:instrText>
        </w:r>
        <w:r>
          <w:rPr>
            <w:noProof/>
            <w:webHidden/>
          </w:rPr>
        </w:r>
        <w:r>
          <w:rPr>
            <w:noProof/>
            <w:webHidden/>
          </w:rPr>
          <w:fldChar w:fldCharType="separate"/>
        </w:r>
        <w:r>
          <w:rPr>
            <w:noProof/>
            <w:webHidden/>
          </w:rPr>
          <w:t>11</w:t>
        </w:r>
        <w:r>
          <w:rPr>
            <w:noProof/>
            <w:webHidden/>
          </w:rPr>
          <w:fldChar w:fldCharType="end"/>
        </w:r>
      </w:hyperlink>
    </w:p>
    <w:p w14:paraId="0B14F1DC" w14:textId="58D96A82" w:rsidR="00E44137" w:rsidRDefault="00E44137">
      <w:pPr>
        <w:pStyle w:val="TDC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5" w:history="1">
        <w:r w:rsidRPr="00DB2FD4">
          <w:rPr>
            <w:rStyle w:val="Hipervnculo"/>
            <w:noProof/>
          </w:rPr>
          <w:t>V.1 Carta Gantt</w:t>
        </w:r>
        <w:r>
          <w:rPr>
            <w:noProof/>
            <w:webHidden/>
          </w:rPr>
          <w:tab/>
        </w:r>
        <w:r>
          <w:rPr>
            <w:noProof/>
            <w:webHidden/>
          </w:rPr>
          <w:fldChar w:fldCharType="begin"/>
        </w:r>
        <w:r>
          <w:rPr>
            <w:noProof/>
            <w:webHidden/>
          </w:rPr>
          <w:instrText xml:space="preserve"> PAGEREF _Toc234068775 \h </w:instrText>
        </w:r>
        <w:r>
          <w:rPr>
            <w:noProof/>
            <w:webHidden/>
          </w:rPr>
        </w:r>
        <w:r>
          <w:rPr>
            <w:noProof/>
            <w:webHidden/>
          </w:rPr>
          <w:fldChar w:fldCharType="separate"/>
        </w:r>
        <w:r>
          <w:rPr>
            <w:noProof/>
            <w:webHidden/>
          </w:rPr>
          <w:t>12</w:t>
        </w:r>
        <w:r>
          <w:rPr>
            <w:noProof/>
            <w:webHidden/>
          </w:rPr>
          <w:fldChar w:fldCharType="end"/>
        </w:r>
      </w:hyperlink>
    </w:p>
    <w:p w14:paraId="3D8F4895" w14:textId="22B24730"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6" w:history="1">
        <w:r w:rsidRPr="00DB2FD4">
          <w:rPr>
            <w:rStyle w:val="Hipervnculo"/>
            <w:noProof/>
          </w:rPr>
          <w:t>VI. INFRAESTRUCTURA DISPONIBLE</w:t>
        </w:r>
        <w:r>
          <w:rPr>
            <w:noProof/>
            <w:webHidden/>
          </w:rPr>
          <w:tab/>
        </w:r>
        <w:r>
          <w:rPr>
            <w:noProof/>
            <w:webHidden/>
          </w:rPr>
          <w:fldChar w:fldCharType="begin"/>
        </w:r>
        <w:r>
          <w:rPr>
            <w:noProof/>
            <w:webHidden/>
          </w:rPr>
          <w:instrText xml:space="preserve"> PAGEREF _Toc234068776 \h </w:instrText>
        </w:r>
        <w:r>
          <w:rPr>
            <w:noProof/>
            <w:webHidden/>
          </w:rPr>
        </w:r>
        <w:r>
          <w:rPr>
            <w:noProof/>
            <w:webHidden/>
          </w:rPr>
          <w:fldChar w:fldCharType="separate"/>
        </w:r>
        <w:r>
          <w:rPr>
            <w:noProof/>
            <w:webHidden/>
          </w:rPr>
          <w:t>13</w:t>
        </w:r>
        <w:r>
          <w:rPr>
            <w:noProof/>
            <w:webHidden/>
          </w:rPr>
          <w:fldChar w:fldCharType="end"/>
        </w:r>
      </w:hyperlink>
    </w:p>
    <w:p w14:paraId="3CE056CB" w14:textId="3EE504CB" w:rsidR="00E44137" w:rsidRDefault="00E44137">
      <w:pPr>
        <w:pStyle w:val="TDC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4068777" w:history="1">
        <w:r w:rsidRPr="00DB2FD4">
          <w:rPr>
            <w:rStyle w:val="Hipervnculo"/>
            <w:noProof/>
          </w:rPr>
          <w:t>VII. BIBLIOGRAFÍA</w:t>
        </w:r>
        <w:r>
          <w:rPr>
            <w:noProof/>
            <w:webHidden/>
          </w:rPr>
          <w:tab/>
        </w:r>
        <w:r>
          <w:rPr>
            <w:noProof/>
            <w:webHidden/>
          </w:rPr>
          <w:fldChar w:fldCharType="begin"/>
        </w:r>
        <w:r>
          <w:rPr>
            <w:noProof/>
            <w:webHidden/>
          </w:rPr>
          <w:instrText xml:space="preserve"> PAGEREF _Toc234068777 \h </w:instrText>
        </w:r>
        <w:r>
          <w:rPr>
            <w:noProof/>
            <w:webHidden/>
          </w:rPr>
        </w:r>
        <w:r>
          <w:rPr>
            <w:noProof/>
            <w:webHidden/>
          </w:rPr>
          <w:fldChar w:fldCharType="separate"/>
        </w:r>
        <w:r>
          <w:rPr>
            <w:noProof/>
            <w:webHidden/>
          </w:rPr>
          <w:t>14</w:t>
        </w:r>
        <w:r>
          <w:rPr>
            <w:noProof/>
            <w:webHidden/>
          </w:rPr>
          <w:fldChar w:fldCharType="end"/>
        </w:r>
      </w:hyperlink>
    </w:p>
    <w:p w14:paraId="79127884" w14:textId="056E7B59" w:rsidR="002742B3" w:rsidRDefault="00000000">
      <w:pPr>
        <w:spacing w:after="120"/>
      </w:pPr>
      <w:r>
        <w:fldChar w:fldCharType="end"/>
      </w:r>
    </w:p>
    <w:p w14:paraId="54A66BD8" w14:textId="77777777" w:rsidR="002742B3" w:rsidRDefault="00000000">
      <w:pPr>
        <w:spacing w:before="240" w:after="160"/>
        <w:jc w:val="center"/>
      </w:pPr>
      <w:r>
        <w:rPr>
          <w:b/>
          <w:bCs/>
          <w:color w:val="000000"/>
          <w:sz w:val="24"/>
          <w:szCs w:val="24"/>
        </w:rPr>
        <w:t>ÍNDICE DE ILUSTRACIONES</w:t>
      </w:r>
    </w:p>
    <w:p w14:paraId="0F841C1B" w14:textId="77777777" w:rsidR="00331978" w:rsidRDefault="00000000">
      <w:pPr>
        <w:pStyle w:val="Tabladeilustraciones"/>
        <w:tabs>
          <w:tab w:val="right" w:leader="dot" w:pos="8656"/>
        </w:tabs>
        <w:rPr>
          <w:noProof/>
        </w:rPr>
      </w:pPr>
      <w:r>
        <w:fldChar w:fldCharType="begin"/>
      </w:r>
      <w:r>
        <w:instrText xml:space="preserve"> TOC \h \z \c "Ilustración" </w:instrText>
      </w:r>
      <w:r>
        <w:fldChar w:fldCharType="separate"/>
      </w:r>
      <w:hyperlink w:anchor="_Toc233993445" w:history="1">
        <w:r w:rsidR="00331978" w:rsidRPr="00EC6704">
          <w:rPr>
            <w:rStyle w:val="Hipervnculo"/>
            <w:b/>
            <w:bCs/>
            <w:noProof/>
          </w:rPr>
          <w:t>Ilustración 1</w:t>
        </w:r>
        <w:r w:rsidR="00331978" w:rsidRPr="00EC6704">
          <w:rPr>
            <w:rStyle w:val="Hipervnculo"/>
            <w:noProof/>
          </w:rPr>
          <w:t>. Flujo metodológico del trabajo de AFE.</w:t>
        </w:r>
        <w:r w:rsidR="00331978">
          <w:rPr>
            <w:noProof/>
            <w:webHidden/>
          </w:rPr>
          <w:tab/>
        </w:r>
        <w:r w:rsidR="00331978">
          <w:rPr>
            <w:noProof/>
            <w:webHidden/>
          </w:rPr>
          <w:fldChar w:fldCharType="begin"/>
        </w:r>
        <w:r w:rsidR="00331978">
          <w:rPr>
            <w:noProof/>
            <w:webHidden/>
          </w:rPr>
          <w:instrText xml:space="preserve"> PAGEREF _Toc233993445 \h </w:instrText>
        </w:r>
        <w:r w:rsidR="00331978">
          <w:rPr>
            <w:noProof/>
            <w:webHidden/>
          </w:rPr>
        </w:r>
        <w:r w:rsidR="00331978">
          <w:rPr>
            <w:noProof/>
            <w:webHidden/>
          </w:rPr>
          <w:fldChar w:fldCharType="separate"/>
        </w:r>
        <w:r w:rsidR="00331978">
          <w:rPr>
            <w:noProof/>
            <w:webHidden/>
          </w:rPr>
          <w:t>8</w:t>
        </w:r>
        <w:r w:rsidR="00331978">
          <w:rPr>
            <w:noProof/>
            <w:webHidden/>
          </w:rPr>
          <w:fldChar w:fldCharType="end"/>
        </w:r>
      </w:hyperlink>
    </w:p>
    <w:p w14:paraId="5A36FB18" w14:textId="77777777" w:rsidR="002742B3" w:rsidRDefault="00000000">
      <w:pPr>
        <w:spacing w:after="120"/>
      </w:pPr>
      <w:r>
        <w:fldChar w:fldCharType="end"/>
      </w:r>
    </w:p>
    <w:p w14:paraId="0A4BA5E8" w14:textId="77777777" w:rsidR="002742B3" w:rsidRDefault="00000000">
      <w:r>
        <w:br w:type="page"/>
      </w:r>
    </w:p>
    <w:p w14:paraId="13287520" w14:textId="77777777" w:rsidR="00DF1E73" w:rsidRDefault="00000000">
      <w:pPr>
        <w:pStyle w:val="Ttulo1"/>
      </w:pPr>
      <w:bookmarkStart w:id="0" w:name="_Toc234068761"/>
      <w:r>
        <w:lastRenderedPageBreak/>
        <w:t>I. RESUMEN DE LA PROPUESTA DEL TRABAJO DE AFE</w:t>
      </w:r>
      <w:bookmarkEnd w:id="0"/>
    </w:p>
    <w:p w14:paraId="1221F6D0" w14:textId="77777777" w:rsidR="003767BD" w:rsidRDefault="00000000">
      <w:pPr>
        <w:spacing w:before="100" w:after="100" w:line="276" w:lineRule="auto"/>
        <w:jc w:val="both"/>
      </w:pPr>
      <w:r>
        <w:t>El presente trabajo de AFE propone un sistema de gestión de riesgos basado en la metodología COSO II para los macroprocesos de apoyo Gestión de Personas (MP8) y Servicios Generales (MP21) del Negocio de Celulosa de Celulosa Arauco y Constitución S.A. El Negocio de Celulosa, compuesto por seis plantas productivas, no dispone de un sistema estructurado que permita identificar, evaluar y tratar de forma sistemática los riesgos operacionales de estos macroprocesos, transversales a todas sus plantas. Esta ausencia limita la trazabilidad de responsabilidades y la continuidad operacional. El objetivo general es estructurar un sistema de gestión de riesgos basado en COSO II para ambos macroprocesos.</w:t>
      </w:r>
    </w:p>
    <w:p w14:paraId="3C064727" w14:textId="77777777" w:rsidR="003767BD" w:rsidRDefault="003767BD"/>
    <w:p w14:paraId="06760256" w14:textId="66FE99D0" w:rsidR="00C40E99" w:rsidRDefault="00000000" w:rsidP="00E07A07">
      <w:pPr>
        <w:spacing w:before="100" w:after="100" w:line="276" w:lineRule="auto"/>
        <w:jc w:val="both"/>
      </w:pPr>
      <w:r>
        <w:t>Para lograrlo se contempla un diseño descriptivo-aplicado de caso único que abarca modelar la arquitectura de procesos en cinco niveles jerárquicos bajo el Modelo de Gestión Operacional, evaluar los riesgos por tarea según COSO II y elaborar el sistema de gestión de riesgos. Los datos se recolectarán mediante revisión documental y entrevistas con los dueños de proceso a nivel de negocio. Como resultado se espera obtener un sistema de gestión de riesgos documentado, sustentado en la arquitectura de procesos modelada y en un catálogo de riesgos con sus planes de mitigación, extrapolable a las seis plantas del Negocio de Celulosa.</w:t>
      </w:r>
    </w:p>
    <w:p w14:paraId="6E8D7699" w14:textId="77777777" w:rsidR="00E44137" w:rsidRDefault="00E44137" w:rsidP="00E07A07">
      <w:pPr>
        <w:spacing w:before="100" w:after="100" w:line="276" w:lineRule="auto"/>
        <w:jc w:val="both"/>
        <w:rPr>
          <w:b/>
          <w:bCs/>
          <w:i/>
          <w:iCs/>
        </w:rPr>
      </w:pPr>
    </w:p>
    <w:p w14:paraId="01E38E5E" w14:textId="6AD7A979" w:rsidR="00E07A07" w:rsidRPr="00E44137" w:rsidRDefault="00E07A07" w:rsidP="00E07A07">
      <w:pPr>
        <w:spacing w:before="100" w:after="100" w:line="276" w:lineRule="auto"/>
        <w:jc w:val="both"/>
        <w:rPr>
          <w:i/>
          <w:iCs/>
        </w:rPr>
      </w:pPr>
      <w:r w:rsidRPr="00E44137">
        <w:rPr>
          <w:b/>
          <w:bCs/>
          <w:i/>
          <w:iCs/>
        </w:rPr>
        <w:t>Palabras clave:</w:t>
      </w:r>
      <w:r w:rsidRPr="00E44137">
        <w:rPr>
          <w:i/>
          <w:iCs/>
        </w:rPr>
        <w:t xml:space="preserve"> gestión de riesgos; COSO II; Enterprise Risk Management (ERM); riesgo operacional; procesos de apoyo; gestión por procesos; arquitectura de procesos; Modelo de Gestión Operacional (MGO); gestión de personas; servicios generales; industria de la celulosa; Arauco.</w:t>
      </w:r>
    </w:p>
    <w:p w14:paraId="0A55D88A" w14:textId="77777777" w:rsidR="00E07A07" w:rsidRDefault="00E07A07">
      <w:pPr>
        <w:rPr>
          <w:b/>
          <w:bCs/>
          <w:color w:val="000000" w:themeColor="text1"/>
          <w:sz w:val="28"/>
          <w:szCs w:val="28"/>
        </w:rPr>
      </w:pPr>
      <w:r>
        <w:br w:type="page"/>
      </w:r>
    </w:p>
    <w:p w14:paraId="6678882B" w14:textId="1AB0C3D7" w:rsidR="00DF1E73" w:rsidRDefault="00000000">
      <w:pPr>
        <w:pStyle w:val="Ttulo1"/>
      </w:pPr>
      <w:bookmarkStart w:id="1" w:name="_Toc234068762"/>
      <w:r>
        <w:lastRenderedPageBreak/>
        <w:t>II. TRABAJO PRÁCTICO PROPUESTO</w:t>
      </w:r>
      <w:bookmarkEnd w:id="1"/>
    </w:p>
    <w:p w14:paraId="390CBCC1" w14:textId="77777777" w:rsidR="00C66253" w:rsidRPr="005A3F0A" w:rsidRDefault="00C66253" w:rsidP="00C66253">
      <w:pPr>
        <w:pStyle w:val="Ttulo2"/>
      </w:pPr>
      <w:bookmarkStart w:id="2" w:name="_Toc234068763"/>
      <w:r>
        <w:t>II.1 Problema y relevancia</w:t>
      </w:r>
      <w:bookmarkEnd w:id="2"/>
    </w:p>
    <w:p w14:paraId="38B1F781" w14:textId="77777777" w:rsidR="00C754AC" w:rsidRDefault="00000000">
      <w:pPr>
        <w:spacing w:before="100" w:after="100" w:line="276" w:lineRule="auto"/>
        <w:jc w:val="both"/>
      </w:pPr>
      <w:r>
        <w:t xml:space="preserve">La gestión de riesgos se ha consolidado como una capacidad crítica para sostener la continuidad y el desempeño de las organizaciones, y la evidencia muestra que descuidar los riesgos operacionales tiene un costo material. En la industria manufacturera estadounidense, por ejemplo, los costos y pérdidas asociados al mantenimiento de la maquinaria se estiman en promedio en unos 222 mil millones de dólares anuales </w:t>
      </w:r>
      <w:r>
        <w:rPr>
          <w:rStyle w:val="Hipervnculo"/>
        </w:rPr>
        <w:t>[</w:t>
      </w:r>
      <w:hyperlink w:anchor="_Ref22" w:history="1">
        <w:r>
          <w:rPr>
            <w:rStyle w:val="Hipervnculo"/>
          </w:rPr>
          <w:t>1</w:t>
        </w:r>
      </w:hyperlink>
      <w:r>
        <w:rPr>
          <w:rStyle w:val="Hipervnculo"/>
        </w:rPr>
        <w:t>]</w:t>
      </w:r>
      <w:r>
        <w:t xml:space="preserve">, una magnitud que ilustra el impacto de no anticipar las fallas operacionales. En sentido inverso, la literatura documenta que gestionar los riesgos de forma estructurada genera valor: las empresas que adoptan marcos de gestión de riesgos empresariales (ERM) obtienen primas de desempeño significativas </w:t>
      </w:r>
      <w:r>
        <w:rPr>
          <w:rStyle w:val="Hipervnculo"/>
        </w:rPr>
        <w:t>[</w:t>
      </w:r>
      <w:hyperlink w:anchor="_Ref15" w:history="1">
        <w:r>
          <w:rPr>
            <w:rStyle w:val="Hipervnculo"/>
          </w:rPr>
          <w:t>2</w:t>
        </w:r>
      </w:hyperlink>
      <w:r>
        <w:rPr>
          <w:rStyle w:val="Hipervnculo"/>
        </w:rPr>
        <w:t>]</w:t>
      </w:r>
      <w:r>
        <w:t xml:space="preserve">, mejoran su desempeño a través de la ventaja competitiva </w:t>
      </w:r>
      <w:r>
        <w:rPr>
          <w:rStyle w:val="Hipervnculo"/>
        </w:rPr>
        <w:t>[</w:t>
      </w:r>
      <w:hyperlink w:anchor="_Ref16" w:history="1">
        <w:r>
          <w:rPr>
            <w:rStyle w:val="Hipervnculo"/>
          </w:rPr>
          <w:t>3</w:t>
        </w:r>
      </w:hyperlink>
      <w:r>
        <w:rPr>
          <w:rStyle w:val="Hipervnculo"/>
        </w:rPr>
        <w:t>]</w:t>
      </w:r>
      <w:r>
        <w:t xml:space="preserve"> y muestran una relación positiva entre la calidad de su gestión de riesgos y sus resultados </w:t>
      </w:r>
      <w:r>
        <w:rPr>
          <w:rStyle w:val="Hipervnculo"/>
        </w:rPr>
        <w:t>[</w:t>
      </w:r>
      <w:hyperlink w:anchor="_Ref19" w:history="1">
        <w:r>
          <w:rPr>
            <w:rStyle w:val="Hipervnculo"/>
          </w:rPr>
          <w:t>4</w:t>
        </w:r>
      </w:hyperlink>
      <w:r>
        <w:rPr>
          <w:rStyle w:val="Hipervnculo"/>
        </w:rPr>
        <w:t>]</w:t>
      </w:r>
      <w:r>
        <w:t xml:space="preserve">, hallazgos consistentes con la revisión de la literatura sobre el valor del ERM </w:t>
      </w:r>
      <w:r>
        <w:rPr>
          <w:rStyle w:val="Hipervnculo"/>
        </w:rPr>
        <w:t>[</w:t>
      </w:r>
      <w:hyperlink w:anchor="_Ref12" w:history="1">
        <w:r>
          <w:rPr>
            <w:rStyle w:val="Hipervnculo"/>
          </w:rPr>
          <w:t>5</w:t>
        </w:r>
      </w:hyperlink>
      <w:r>
        <w:rPr>
          <w:rStyle w:val="Hipervnculo"/>
        </w:rPr>
        <w:t>]</w:t>
      </w:r>
      <w:r>
        <w:t>.</w:t>
      </w:r>
    </w:p>
    <w:p w14:paraId="1E70DCF8" w14:textId="77777777" w:rsidR="00C754AC" w:rsidRDefault="00000000">
      <w:pPr>
        <w:spacing w:before="100" w:after="100" w:line="276" w:lineRule="auto"/>
        <w:jc w:val="both"/>
      </w:pPr>
      <w:r>
        <w:t>Este contraste es especialmente relevante en los procesos de apoyo, como la gestión de personas y los servicios generales, que suelen carecer de una gestión de riesgos formal pese a sostener la operación. Cuando una gran empresa no cuenta con un sistema estructurado que identifique, evalúe y trate los riesgos de estos procesos, queda expuesta a pérdidas operacionales, a la pérdida de trazabilidad de las responsabilidades y a interrupciones evitables. Resolver esta brecha, en cambio, permite anticipar los eventos, priorizar los recursos de control donde más valor aportan y sostener la continuidad operacional, lo que justifica el esfuerzo de estructurar un sistema de gestión de riesgos para estos macroprocesos.</w:t>
      </w:r>
    </w:p>
    <w:p w14:paraId="6AD9C60C" w14:textId="77777777" w:rsidR="00C66253" w:rsidRDefault="00C66253" w:rsidP="00C66253">
      <w:pPr>
        <w:spacing w:before="100" w:after="100" w:line="276" w:lineRule="auto"/>
        <w:jc w:val="both"/>
      </w:pPr>
      <w:r>
        <w:t>En las grandes empresas industriales, los macroprocesos de apoyo, como la gestión de personas y los servicios generales, suelen operar sin un sistema de gestión de riesgos estructurado que permita identificar, evaluar y tratar de forma sistemática sus riesgos operacionales. Con frecuencia esta carencia se combina con la ausencia de una arquitectura de procesos formalizada para esos macroprocesos, lo que dificulta la trazabilidad de las responsabilidades y la gestión centralizada de los riesgos, sobre todo cuando los procesos son transversales a múltiples unidades o instalaciones.</w:t>
      </w:r>
    </w:p>
    <w:p w14:paraId="3F8F9DCA" w14:textId="77777777" w:rsidR="00C66253" w:rsidRDefault="00C66253" w:rsidP="00C66253"/>
    <w:p w14:paraId="03A529B9" w14:textId="77777777" w:rsidR="00C66253" w:rsidRDefault="00C66253" w:rsidP="00C66253">
      <w:pPr>
        <w:spacing w:before="100" w:after="100" w:line="276" w:lineRule="auto"/>
        <w:jc w:val="both"/>
      </w:pPr>
      <w:r>
        <w:t>Esta situación suele manifestarse en tres carencias concretas. En primer lugar, no existe una arquitectura de procesos formalizada de los macroprocesos de apoyo en sus distintos niveles jerárquicos que sirva de base para analizar los riesgos. En segundo lugar, los riesgos operacionales asociados a las tareas de esos macroprocesos no han sido identificados ni evaluados con una metodología estructurada como COSO II. Por último, la organización no cuenta con un sistema que integre esos riesgos con sus planes de mitigación, sus responsables y sus mecanismos de monitoreo.</w:t>
      </w:r>
    </w:p>
    <w:p w14:paraId="723E61CA" w14:textId="77777777" w:rsidR="00C66253" w:rsidRDefault="00C66253" w:rsidP="00C66253"/>
    <w:p w14:paraId="5E3A7C71" w14:textId="77777777" w:rsidR="00C66253" w:rsidRDefault="00C66253" w:rsidP="00C66253">
      <w:pPr>
        <w:spacing w:before="100" w:after="100" w:line="276" w:lineRule="auto"/>
        <w:jc w:val="both"/>
      </w:pPr>
      <w:r>
        <w:t>Abordar esta problemática es relevante porque un sistema de gestión de riesgos basado en COSO II permite identificar y controlar de forma sistemática las vulnerabilidades operacionales de los macroprocesos de apoyo, lo que contribuye a la continuidad de las operaciones y al cumplimiento de los estándares corporativos. Además, cuando el sistema se sustenta en una arquitectura de procesos modelada, puede extrapolarse a las distintas unidades o plantas de una organización y habilitar una gestión de riesgos homogénea y trazable.</w:t>
      </w:r>
    </w:p>
    <w:p w14:paraId="04C4D0D9" w14:textId="77777777" w:rsidR="00DF1E73" w:rsidRDefault="00000000">
      <w:pPr>
        <w:pStyle w:val="Ttulo2"/>
      </w:pPr>
      <w:bookmarkStart w:id="3" w:name="_Toc234068764"/>
      <w:r>
        <w:t>II.2 Revisión bibliográfica</w:t>
      </w:r>
      <w:bookmarkEnd w:id="3"/>
    </w:p>
    <w:p w14:paraId="0D8CC77D" w14:textId="77777777" w:rsidR="00DF1E73" w:rsidRDefault="00000000">
      <w:pPr>
        <w:spacing w:before="100" w:after="100" w:line="276" w:lineRule="auto"/>
        <w:jc w:val="both"/>
      </w:pPr>
      <w:r>
        <w:t xml:space="preserve">La gestión de riesgos se ha convertido en una función central para asegurar la continuidad de las operaciones y el cumplimiento de los objetivos de una organización. Para gestionarlos de manera sistemática, sin embargo, la empresa primero necesita comprender y ordenar sus procesos, de </w:t>
      </w:r>
      <w:r>
        <w:lastRenderedPageBreak/>
        <w:t xml:space="preserve">modo que la gestión por procesos y la gestión de riesgos funcionan como disciplinas complementarias. Sobre esa premisa, este trabajo articula ambos enfoques para estructurar un sistema de gestión de riesgos en los macroprocesos de apoyo de Gestión de Personas y Servicios Generales. Ya Hammer y Champy </w:t>
      </w:r>
      <w:r>
        <w:rPr>
          <w:rStyle w:val="Hipervnculo"/>
        </w:rPr>
        <w:t>[</w:t>
      </w:r>
      <w:hyperlink w:anchor="_Ref1" w:history="1">
        <w:r w:rsidR="00DF1E73">
          <w:rPr>
            <w:rStyle w:val="Hipervnculo"/>
          </w:rPr>
          <w:t>6</w:t>
        </w:r>
      </w:hyperlink>
      <w:r>
        <w:rPr>
          <w:rStyle w:val="Hipervnculo"/>
        </w:rPr>
        <w:t>]</w:t>
      </w:r>
      <w:r>
        <w:t xml:space="preserve"> y Harmon </w:t>
      </w:r>
      <w:r>
        <w:rPr>
          <w:rStyle w:val="Hipervnculo"/>
        </w:rPr>
        <w:t>[</w:t>
      </w:r>
      <w:hyperlink w:anchor="_Ref2" w:history="1">
        <w:r w:rsidR="00DF1E73">
          <w:rPr>
            <w:rStyle w:val="Hipervnculo"/>
          </w:rPr>
          <w:t>7</w:t>
        </w:r>
      </w:hyperlink>
      <w:r>
        <w:rPr>
          <w:rStyle w:val="Hipervnculo"/>
        </w:rPr>
        <w:t>]</w:t>
      </w:r>
      <w:r>
        <w:t xml:space="preserve"> advertían que organizar el trabajo en torno a procesos es condición previa para identificar y controlar los riesgos operacionales.</w:t>
      </w:r>
    </w:p>
    <w:p w14:paraId="6CCDB1CB" w14:textId="77777777" w:rsidR="00DF1E73" w:rsidRDefault="00DF1E73"/>
    <w:p w14:paraId="3F406AEA" w14:textId="3297C16A" w:rsidR="00DF1E73" w:rsidRDefault="00000000" w:rsidP="00E009A5">
      <w:pPr>
        <w:pStyle w:val="Ttulo3"/>
      </w:pPr>
      <w:bookmarkStart w:id="4" w:name="_Toc234068765"/>
      <w:r>
        <w:t>II.2.1 Gestión por procesos</w:t>
      </w:r>
      <w:bookmarkEnd w:id="4"/>
    </w:p>
    <w:p w14:paraId="25525F23" w14:textId="77777777" w:rsidR="00DF1E73" w:rsidRDefault="00000000" w:rsidP="00623319">
      <w:pPr>
        <w:spacing w:before="100" w:after="100" w:line="276" w:lineRule="auto"/>
        <w:jc w:val="both"/>
      </w:pPr>
      <w:r>
        <w:t xml:space="preserve">La gestión por procesos ordena las actividades de la empresa en torno a flujos de valor que cruzan las fronteras funcionales y orientan el trabajo hacia resultados medibles y replicables, tal como planteó Davenport </w:t>
      </w:r>
      <w:r>
        <w:rPr>
          <w:rStyle w:val="Hipervnculo"/>
        </w:rPr>
        <w:t>[</w:t>
      </w:r>
      <w:hyperlink w:anchor="_Ref3" w:history="1">
        <w:r w:rsidR="00DF1E73">
          <w:rPr>
            <w:rStyle w:val="Hipervnculo"/>
          </w:rPr>
          <w:t>8</w:t>
        </w:r>
      </w:hyperlink>
      <w:r>
        <w:rPr>
          <w:rStyle w:val="Hipervnculo"/>
        </w:rPr>
        <w:t>]</w:t>
      </w:r>
      <w:r>
        <w:t xml:space="preserve"> en los orígenes de esta disciplina. Su adopción se vincula estrechamente con la gestión de la calidad y con una toma de decisiones apoyada en información confiable, según muestran Litvaj et al. </w:t>
      </w:r>
      <w:r>
        <w:rPr>
          <w:rStyle w:val="Hipervnculo"/>
        </w:rPr>
        <w:t>[</w:t>
      </w:r>
      <w:hyperlink w:anchor="_Ref4" w:history="1">
        <w:r w:rsidR="00DF1E73">
          <w:rPr>
            <w:rStyle w:val="Hipervnculo"/>
          </w:rPr>
          <w:t>9</w:t>
        </w:r>
      </w:hyperlink>
      <w:r>
        <w:rPr>
          <w:rStyle w:val="Hipervnculo"/>
        </w:rPr>
        <w:t>]</w:t>
      </w:r>
      <w:r>
        <w:t>.</w:t>
      </w:r>
    </w:p>
    <w:p w14:paraId="64188A2B" w14:textId="77777777" w:rsidR="00623319" w:rsidRDefault="00000000">
      <w:pPr>
        <w:spacing w:before="100" w:after="100" w:line="276" w:lineRule="auto"/>
        <w:jc w:val="both"/>
      </w:pPr>
      <w:r>
        <w:t xml:space="preserve">Ferreira y Vasconcelos Ramos </w:t>
      </w:r>
      <w:r>
        <w:rPr>
          <w:rStyle w:val="Hipervnculo"/>
        </w:rPr>
        <w:t>[</w:t>
      </w:r>
      <w:hyperlink w:anchor="_Ref5" w:history="1">
        <w:r w:rsidR="00DF1E73">
          <w:rPr>
            <w:rStyle w:val="Hipervnculo"/>
          </w:rPr>
          <w:t>10</w:t>
        </w:r>
      </w:hyperlink>
      <w:r>
        <w:rPr>
          <w:rStyle w:val="Hipervnculo"/>
        </w:rPr>
        <w:t>]</w:t>
      </w:r>
      <w:r>
        <w:t xml:space="preserve"> entienden esta disciplina como un ciclo continuo que abarca la identificación, el modelamiento, el análisis, el rediseño, la implementación y el monitoreo de los procesos de negocio. La transformación digital ha renovado su vigencia, al ampliar las capacidades necesarias para gestionar los procesos y estrechar su vínculo con la innovación organizacional, un tema que han examinado Mendling et al. </w:t>
      </w:r>
      <w:r>
        <w:rPr>
          <w:rStyle w:val="Hipervnculo"/>
        </w:rPr>
        <w:t>[</w:t>
      </w:r>
      <w:hyperlink w:anchor="_Ref6" w:history="1">
        <w:r w:rsidR="00DF1E73">
          <w:rPr>
            <w:rStyle w:val="Hipervnculo"/>
          </w:rPr>
          <w:t>11</w:t>
        </w:r>
      </w:hyperlink>
      <w:r>
        <w:rPr>
          <w:rStyle w:val="Hipervnculo"/>
        </w:rPr>
        <w:t>]</w:t>
      </w:r>
      <w:r>
        <w:t xml:space="preserve"> y Kerpedzhiev et al. </w:t>
      </w:r>
      <w:r>
        <w:rPr>
          <w:rStyle w:val="Hipervnculo"/>
        </w:rPr>
        <w:t>[</w:t>
      </w:r>
      <w:hyperlink w:anchor="_Ref7" w:history="1">
        <w:r w:rsidR="00DF1E73">
          <w:rPr>
            <w:rStyle w:val="Hipervnculo"/>
          </w:rPr>
          <w:t>12</w:t>
        </w:r>
      </w:hyperlink>
      <w:r>
        <w:rPr>
          <w:rStyle w:val="Hipervnculo"/>
        </w:rPr>
        <w:t>]</w:t>
      </w:r>
      <w:r>
        <w:t xml:space="preserve">. </w:t>
      </w:r>
    </w:p>
    <w:p w14:paraId="1C798644" w14:textId="77777777" w:rsidR="00DF1E73" w:rsidRDefault="00000000">
      <w:pPr>
        <w:spacing w:before="100" w:after="100" w:line="276" w:lineRule="auto"/>
        <w:jc w:val="both"/>
      </w:pPr>
      <w:r>
        <w:t>En los procesos de apoyo, como la gestión de personas y los servicios generales, este enfoque permite ordenar actividades que suelen estar dispersas y dotarlas de trazabilidad y control, condición previa para analizar sus riesgos.</w:t>
      </w:r>
    </w:p>
    <w:p w14:paraId="7D208EBB" w14:textId="77777777" w:rsidR="00DF1E73" w:rsidRDefault="00DF1E73"/>
    <w:p w14:paraId="45FE4205" w14:textId="0A1D9F98" w:rsidR="00DF1E73" w:rsidRDefault="00000000" w:rsidP="00616BBD">
      <w:pPr>
        <w:pStyle w:val="Ttulo3"/>
      </w:pPr>
      <w:bookmarkStart w:id="5" w:name="_Toc234068766"/>
      <w:r>
        <w:t>II.2.2 Marcos de referencia para la gestión por procesos</w:t>
      </w:r>
      <w:bookmarkEnd w:id="5"/>
    </w:p>
    <w:p w14:paraId="46379D2C" w14:textId="77777777" w:rsidR="00DF1E73" w:rsidRDefault="00000000">
      <w:pPr>
        <w:spacing w:before="100" w:after="100" w:line="276" w:lineRule="auto"/>
        <w:jc w:val="both"/>
      </w:pPr>
      <w:r>
        <w:t xml:space="preserve">Para apoyar la adopción de este enfoque existen marcos de referencia de amplio uso. Entre ellos destaca el Process Classification Framework del American Productivity and Quality Center, un esquema de clasificación genérico que permite describir y comparar los procesos de una organización con un lenguaje común, tal como lo documenta APQC </w:t>
      </w:r>
      <w:r>
        <w:rPr>
          <w:rStyle w:val="Hipervnculo"/>
        </w:rPr>
        <w:t>[</w:t>
      </w:r>
      <w:hyperlink w:anchor="_Ref8" w:history="1">
        <w:r w:rsidR="00DF1E73">
          <w:rPr>
            <w:rStyle w:val="Hipervnculo"/>
          </w:rPr>
          <w:t>13</w:t>
        </w:r>
      </w:hyperlink>
      <w:r>
        <w:rPr>
          <w:rStyle w:val="Hipervnculo"/>
        </w:rPr>
        <w:t>]</w:t>
      </w:r>
      <w:r>
        <w:t>.</w:t>
      </w:r>
    </w:p>
    <w:p w14:paraId="5E957547" w14:textId="77777777" w:rsidR="00DF1E73" w:rsidRDefault="00DF1E73"/>
    <w:p w14:paraId="56F227A2" w14:textId="3D3CA101" w:rsidR="00DF1E73" w:rsidRDefault="00000000" w:rsidP="00EE4249">
      <w:pPr>
        <w:spacing w:before="100" w:after="100" w:line="276" w:lineRule="auto"/>
        <w:jc w:val="both"/>
      </w:pPr>
      <w:r>
        <w:t>Este marco ordena los procesos en categorías, grupos, procesos y actividades, lo que facilita la comparación con prácticas de referencia y la detección de brechas. Por su carácter genérico y transversal a distintas industrias, resulta útil para contrastar lo que debería existir en un macroproceso de apoyo con lo que la organización tiene efectivamente documentado.</w:t>
      </w:r>
    </w:p>
    <w:p w14:paraId="1E2A38A8" w14:textId="54B6E897" w:rsidR="00DF1E73" w:rsidRDefault="00000000" w:rsidP="00402AB7">
      <w:pPr>
        <w:pStyle w:val="Ttulo3"/>
      </w:pPr>
      <w:bookmarkStart w:id="6" w:name="_Toc234068767"/>
      <w:r>
        <w:t>II.2.3 Madurez operativa de los procesos</w:t>
      </w:r>
      <w:bookmarkEnd w:id="6"/>
    </w:p>
    <w:p w14:paraId="3BD6EB6C" w14:textId="311DAA36" w:rsidR="00DF1E73" w:rsidRDefault="00000000" w:rsidP="00680D8F">
      <w:pPr>
        <w:spacing w:before="100" w:after="100" w:line="276" w:lineRule="auto"/>
        <w:jc w:val="both"/>
      </w:pPr>
      <w:r>
        <w:t xml:space="preserve">El concepto de madurez operativa, heredado de modelos como el Capability Maturity Model Integration del Software Engineering Institute </w:t>
      </w:r>
      <w:r>
        <w:rPr>
          <w:rStyle w:val="Hipervnculo"/>
        </w:rPr>
        <w:t>[</w:t>
      </w:r>
      <w:hyperlink w:anchor="_Ref9" w:history="1">
        <w:r w:rsidR="00DF1E73">
          <w:rPr>
            <w:rStyle w:val="Hipervnculo"/>
          </w:rPr>
          <w:t>14</w:t>
        </w:r>
      </w:hyperlink>
      <w:r>
        <w:rPr>
          <w:rStyle w:val="Hipervnculo"/>
        </w:rPr>
        <w:t>]</w:t>
      </w:r>
      <w:r>
        <w:t>, permite valorar en qué medida los procesos de una organización se acercan a las prácticas estándar y orientar la mejora hacia las áreas más débiles.</w:t>
      </w:r>
    </w:p>
    <w:p w14:paraId="3F2F9E16" w14:textId="5A179FD3" w:rsidR="00DF1E73" w:rsidRDefault="00000000" w:rsidP="00680D8F">
      <w:pPr>
        <w:spacing w:before="100" w:after="100" w:line="276" w:lineRule="auto"/>
        <w:jc w:val="both"/>
      </w:pPr>
      <w:r>
        <w:t xml:space="preserve">Estos modelos describen una progresión por niveles, que va desde procesos informales y sin documentar hasta procesos definidos, gestionados con datos y en mejora continua. Szelągowski y Berniak-Woźny </w:t>
      </w:r>
      <w:r>
        <w:rPr>
          <w:rStyle w:val="Hipervnculo"/>
        </w:rPr>
        <w:t>[</w:t>
      </w:r>
      <w:hyperlink w:anchor="_Ref10" w:history="1">
        <w:r w:rsidR="00DF1E73">
          <w:rPr>
            <w:rStyle w:val="Hipervnculo"/>
          </w:rPr>
          <w:t>15</w:t>
        </w:r>
      </w:hyperlink>
      <w:r>
        <w:rPr>
          <w:rStyle w:val="Hipervnculo"/>
        </w:rPr>
        <w:t>]</w:t>
      </w:r>
      <w:r>
        <w:t xml:space="preserve"> muestran cómo se han adaptado a contextos organizacionales diversos para evaluar de forma estructurada el grado de formalización alcanzado, mientras que Dobrosavljević et al. </w:t>
      </w:r>
      <w:r>
        <w:rPr>
          <w:rStyle w:val="Hipervnculo"/>
        </w:rPr>
        <w:t>[</w:t>
      </w:r>
      <w:hyperlink w:anchor="_Ref11" w:history="1">
        <w:r w:rsidR="00DF1E73">
          <w:rPr>
            <w:rStyle w:val="Hipervnculo"/>
          </w:rPr>
          <w:t>16</w:t>
        </w:r>
      </w:hyperlink>
      <w:r>
        <w:rPr>
          <w:rStyle w:val="Hipervnculo"/>
        </w:rPr>
        <w:t>]</w:t>
      </w:r>
      <w:r>
        <w:t xml:space="preserve"> evidencian que las dimensiones de orientación a procesos condicionan el avance hacia niveles superiores de madurez.</w:t>
      </w:r>
    </w:p>
    <w:p w14:paraId="78F939EC" w14:textId="6794DB88" w:rsidR="00DF1E73" w:rsidRDefault="00000000" w:rsidP="00402AB7">
      <w:pPr>
        <w:pStyle w:val="Ttulo3"/>
      </w:pPr>
      <w:bookmarkStart w:id="7" w:name="_Toc234068768"/>
      <w:r>
        <w:t>II.2.4 Gestión de riesgos y metodología COSO II</w:t>
      </w:r>
      <w:bookmarkEnd w:id="7"/>
    </w:p>
    <w:p w14:paraId="2A30FFEC" w14:textId="4C092A33" w:rsidR="002742B3" w:rsidRDefault="00000000" w:rsidP="00680D8F">
      <w:pPr>
        <w:spacing w:before="100" w:after="100" w:line="276" w:lineRule="auto"/>
        <w:jc w:val="both"/>
      </w:pPr>
      <w:r>
        <w:t xml:space="preserve">La gestión de riesgos empresariales, o Enterprise Risk Management, representa la evolución desde un manejo aislado de los riesgos hacia un enfoque holístico e integrado con la estrategia y el desempeño, como sintetizan Anton y Nucu </w:t>
      </w:r>
      <w:r>
        <w:rPr>
          <w:rStyle w:val="Hipervnculo"/>
        </w:rPr>
        <w:t>[</w:t>
      </w:r>
      <w:hyperlink w:anchor="_Ref12" w:history="1">
        <w:r w:rsidR="00DF1E73">
          <w:rPr>
            <w:rStyle w:val="Hipervnculo"/>
          </w:rPr>
          <w:t>5</w:t>
        </w:r>
      </w:hyperlink>
      <w:r>
        <w:rPr>
          <w:rStyle w:val="Hipervnculo"/>
        </w:rPr>
        <w:t>]</w:t>
      </w:r>
      <w:r>
        <w:t xml:space="preserve"> en su revisión de la literatura. En este campo, el Committee of Sponsoring Organizations of the Treadway Commission desarrolló un marco de referencia para identificar, evaluar y responder a los eventos que afectan el logro de los objetivos. </w:t>
      </w:r>
      <w:r>
        <w:lastRenderedPageBreak/>
        <w:t xml:space="preserve">La metodología conocida como COSO II corresponde a ese marco de gestión de riesgos, publicado originalmente en 2004 y organizado en ocho componentes: ambiente interno, establecimiento de objetivos, identificación de eventos, evaluación de riesgos, respuesta al riesgo, actividades de control, información y comunicación, y supervisión. En 2017 se actualizó bajo el título Enterprise Risk Management: Integrating with Strategy and Performance, que lo reorganiza en cinco componentes y veinte principios </w:t>
      </w:r>
      <w:r>
        <w:rPr>
          <w:rStyle w:val="Hipervnculo"/>
        </w:rPr>
        <w:t>[</w:t>
      </w:r>
      <w:hyperlink w:anchor="_Ref13" w:history="1">
        <w:r w:rsidR="00DF1E73">
          <w:rPr>
            <w:rStyle w:val="Hipervnculo"/>
          </w:rPr>
          <w:t>17</w:t>
        </w:r>
      </w:hyperlink>
      <w:r>
        <w:rPr>
          <w:rStyle w:val="Hipervnculo"/>
        </w:rPr>
        <w:t xml:space="preserve">, </w:t>
      </w:r>
      <w:hyperlink w:anchor="_Ref21" w:history="1">
        <w:r w:rsidR="00DF1E73">
          <w:rPr>
            <w:rStyle w:val="Hipervnculo"/>
          </w:rPr>
          <w:t>18</w:t>
        </w:r>
      </w:hyperlink>
      <w:r>
        <w:rPr>
          <w:rStyle w:val="Hipervnculo"/>
        </w:rPr>
        <w:t>]</w:t>
      </w:r>
      <w:r>
        <w:t>.</w:t>
      </w:r>
    </w:p>
    <w:p w14:paraId="309D75CF" w14:textId="0FB44EAD" w:rsidR="00DF1E73" w:rsidRDefault="00000000" w:rsidP="00680D8F">
      <w:pPr>
        <w:spacing w:before="100" w:after="100" w:line="276" w:lineRule="auto"/>
        <w:jc w:val="both"/>
      </w:pPr>
      <w:r>
        <w:t>Esta propuesta adopta la metodología COSO II porque es la versión más consolidada en la práctica industrial para gestionar el riesgo operacional. Su ciclo de identificación de eventos, evaluación del riesgo y respuesta se aplica de forma directa en el nivel de tarea, que es donde se origina buena parte de los riesgos de los procesos de apoyo. Aplicar COSO II en los macroprocesos de apoyo de una empresa del tamaño de Arauco aporta valor, porque permite ligar cada riesgo operacional a la tarea que lo genera y definir controles y planes de mitigación coherentes con la estructura de procesos.</w:t>
      </w:r>
    </w:p>
    <w:p w14:paraId="23BD5C5E" w14:textId="77777777" w:rsidR="00DF1E73" w:rsidRDefault="00000000">
      <w:pPr>
        <w:spacing w:before="100" w:after="100" w:line="276" w:lineRule="auto"/>
        <w:jc w:val="both"/>
      </w:pPr>
      <w:r>
        <w:t xml:space="preserve">Varios estudios han combinado el enfoque de procesos con marcos de riesgo en empresas industriales de gran escala y reportan mejoras en la trazabilidad de las responsabilidades, en la calidad de la información de gestión y en la capacidad de respuesta ante eventos disruptivos, como documentan Rummler y Brache </w:t>
      </w:r>
      <w:r>
        <w:rPr>
          <w:rStyle w:val="Hipervnculo"/>
        </w:rPr>
        <w:t>[</w:t>
      </w:r>
      <w:hyperlink w:anchor="_Ref14" w:history="1">
        <w:r w:rsidR="00DF1E73">
          <w:rPr>
            <w:rStyle w:val="Hipervnculo"/>
          </w:rPr>
          <w:t>19</w:t>
        </w:r>
      </w:hyperlink>
      <w:r>
        <w:rPr>
          <w:rStyle w:val="Hipervnculo"/>
        </w:rPr>
        <w:t>]</w:t>
      </w:r>
      <w:r>
        <w:t xml:space="preserve"> y Jurdi y AlGhnaimat </w:t>
      </w:r>
      <w:r>
        <w:rPr>
          <w:rStyle w:val="Hipervnculo"/>
        </w:rPr>
        <w:t>[</w:t>
      </w:r>
      <w:hyperlink w:anchor="_Ref15" w:history="1">
        <w:r w:rsidR="00DF1E73">
          <w:rPr>
            <w:rStyle w:val="Hipervnculo"/>
          </w:rPr>
          <w:t>2</w:t>
        </w:r>
      </w:hyperlink>
      <w:r>
        <w:rPr>
          <w:rStyle w:val="Hipervnculo"/>
        </w:rPr>
        <w:t>]</w:t>
      </w:r>
      <w:r>
        <w:t xml:space="preserve">. Yang et al. </w:t>
      </w:r>
      <w:r>
        <w:rPr>
          <w:rStyle w:val="Hipervnculo"/>
        </w:rPr>
        <w:t>[</w:t>
      </w:r>
      <w:hyperlink w:anchor="_Ref16" w:history="1">
        <w:r w:rsidR="00DF1E73">
          <w:rPr>
            <w:rStyle w:val="Hipervnculo"/>
          </w:rPr>
          <w:t>3</w:t>
        </w:r>
      </w:hyperlink>
      <w:r>
        <w:rPr>
          <w:rStyle w:val="Hipervnculo"/>
        </w:rPr>
        <w:t>]</w:t>
      </w:r>
      <w:r>
        <w:t xml:space="preserve"> aportan evidencia de que las prácticas de gestión de riesgos se asocian con un mejor desempeño de la organización a través de la ventaja competitiva. La investigación más reciente ha profundizado en la medición de la madurez y la calidad de estos sistemas, con los modelos de madurez de Tubis y Werbińska-Wojciechowska </w:t>
      </w:r>
      <w:r>
        <w:rPr>
          <w:rStyle w:val="Hipervnculo"/>
        </w:rPr>
        <w:t>[</w:t>
      </w:r>
      <w:hyperlink w:anchor="_Ref17" w:history="1">
        <w:r w:rsidR="00DF1E73">
          <w:rPr>
            <w:rStyle w:val="Hipervnculo"/>
          </w:rPr>
          <w:t>20</w:t>
        </w:r>
      </w:hyperlink>
      <w:r>
        <w:rPr>
          <w:rStyle w:val="Hipervnculo"/>
        </w:rPr>
        <w:t>]</w:t>
      </w:r>
      <w:r>
        <w:t xml:space="preserve">, el índice basado en COSO 2017 que proponen Liu y Waqas </w:t>
      </w:r>
      <w:r>
        <w:rPr>
          <w:rStyle w:val="Hipervnculo"/>
        </w:rPr>
        <w:t>[</w:t>
      </w:r>
      <w:hyperlink w:anchor="_Ref18" w:history="1">
        <w:r w:rsidR="00DF1E73">
          <w:rPr>
            <w:rStyle w:val="Hipervnculo"/>
          </w:rPr>
          <w:t>21</w:t>
        </w:r>
      </w:hyperlink>
      <w:r>
        <w:rPr>
          <w:rStyle w:val="Hipervnculo"/>
        </w:rPr>
        <w:t>]</w:t>
      </w:r>
      <w:r>
        <w:t xml:space="preserve"> para organizaciones de servicios y el trabajo de Jagrič et al. </w:t>
      </w:r>
      <w:r>
        <w:rPr>
          <w:rStyle w:val="Hipervnculo"/>
        </w:rPr>
        <w:t>[</w:t>
      </w:r>
      <w:hyperlink w:anchor="_Ref19" w:history="1">
        <w:r w:rsidR="00DF1E73">
          <w:rPr>
            <w:rStyle w:val="Hipervnculo"/>
          </w:rPr>
          <w:t>4</w:t>
        </w:r>
      </w:hyperlink>
      <w:r>
        <w:rPr>
          <w:rStyle w:val="Hipervnculo"/>
        </w:rPr>
        <w:t>]</w:t>
      </w:r>
      <w:r>
        <w:t xml:space="preserve"> sobre la calidad de la gestión de riesgos corporativos. Aun así, la aplicación de COSO II en el nivel de tarea dentro de procesos de apoyo de empresas forestales sigue siendo escasa, lo que respalda la pertinencia de este trabajo como una contribución aplicada al sector.</w:t>
      </w:r>
    </w:p>
    <w:p w14:paraId="328D57A5" w14:textId="77777777" w:rsidR="002742B3" w:rsidRDefault="002742B3"/>
    <w:p w14:paraId="7A8A91DB" w14:textId="112DCAE2" w:rsidR="002742B3" w:rsidRDefault="00000000" w:rsidP="00402AB7">
      <w:pPr>
        <w:pStyle w:val="Ttulo3"/>
      </w:pPr>
      <w:bookmarkStart w:id="8" w:name="_Toc234068769"/>
      <w:r>
        <w:t>II.2.5 Sistemas de gestión de riesgos</w:t>
      </w:r>
      <w:bookmarkEnd w:id="8"/>
    </w:p>
    <w:p w14:paraId="7B7147CA" w14:textId="7EA99D6C" w:rsidR="002742B3" w:rsidRDefault="00000000" w:rsidP="00680D8F">
      <w:pPr>
        <w:spacing w:before="100" w:after="100" w:line="276" w:lineRule="auto"/>
        <w:jc w:val="both"/>
      </w:pPr>
      <w:r>
        <w:t>Un sistema de gestión de riesgos es el conjunto ordenado de políticas, roles, procesos y herramientas con que una organización identifica, evalúa, trata, monitorea y comunica sus riesgos de forma continua y alineada con sus objetivos. Se distingue de un simple registro o catálogo porque integra la valoración de los riesgos con su tratamiento, su gobernanza y su seguimiento, lo que permite que la gestión se sostenga en el tiempo y no quede como un ejercicio aislado.</w:t>
      </w:r>
    </w:p>
    <w:p w14:paraId="43DC0B6A" w14:textId="77777777" w:rsidR="00623319" w:rsidRDefault="00000000">
      <w:pPr>
        <w:spacing w:before="100" w:after="100" w:line="276" w:lineRule="auto"/>
        <w:jc w:val="both"/>
      </w:pPr>
      <w:r>
        <w:t xml:space="preserve">Bajo COSO, un sistema de gestión de riesgos lleva los componentes del ERM a los distintos niveles de la organización. </w:t>
      </w:r>
    </w:p>
    <w:p w14:paraId="6BAEC516" w14:textId="77777777" w:rsidR="00623319" w:rsidRDefault="00000000">
      <w:pPr>
        <w:spacing w:before="100" w:after="100" w:line="276" w:lineRule="auto"/>
        <w:jc w:val="both"/>
      </w:pPr>
      <w:r>
        <w:t xml:space="preserve">En esta propuesta el sistema se articula alrededor del ciclo de identificación, evaluación y respuesta al riesgo en el nivel de tarea, y se complementa con una capa de gobernanza que define roles, responsabilidades y una taxonomía de riesgos, junto con indicadores clave de riesgo y un esquema de monitoreo y reporte. </w:t>
      </w:r>
    </w:p>
    <w:p w14:paraId="667F2089" w14:textId="6F468001" w:rsidR="00DF1E73" w:rsidRDefault="00000000" w:rsidP="00680D8F">
      <w:pPr>
        <w:spacing w:before="100" w:after="100" w:line="276" w:lineRule="auto"/>
        <w:jc w:val="both"/>
      </w:pPr>
      <w:r>
        <w:t xml:space="preserve">Para valorar el grado de desarrollo de estos sistemas, la literatura ofrece modelos de madurez, incluidos algunos construidos específicamente sobre COSO, como los de Tubis y Werbińska-Wojciechowska </w:t>
      </w:r>
      <w:r>
        <w:rPr>
          <w:rStyle w:val="Hipervnculo"/>
        </w:rPr>
        <w:t>[</w:t>
      </w:r>
      <w:hyperlink w:anchor="_Ref17" w:history="1">
        <w:r w:rsidR="002742B3">
          <w:rPr>
            <w:rStyle w:val="Hipervnculo"/>
          </w:rPr>
          <w:t>20</w:t>
        </w:r>
      </w:hyperlink>
      <w:r>
        <w:rPr>
          <w:rStyle w:val="Hipervnculo"/>
        </w:rPr>
        <w:t>]</w:t>
      </w:r>
      <w:r>
        <w:t xml:space="preserve"> y Liu y Waqas </w:t>
      </w:r>
      <w:r>
        <w:rPr>
          <w:rStyle w:val="Hipervnculo"/>
        </w:rPr>
        <w:t>[</w:t>
      </w:r>
      <w:hyperlink w:anchor="_Ref18" w:history="1">
        <w:r w:rsidR="002742B3">
          <w:rPr>
            <w:rStyle w:val="Hipervnculo"/>
          </w:rPr>
          <w:t>21</w:t>
        </w:r>
      </w:hyperlink>
      <w:r>
        <w:rPr>
          <w:rStyle w:val="Hipervnculo"/>
        </w:rPr>
        <w:t>]</w:t>
      </w:r>
      <w:r>
        <w:t>.</w:t>
      </w:r>
    </w:p>
    <w:p w14:paraId="24A96F54" w14:textId="1348EA05" w:rsidR="00623319" w:rsidRDefault="00000000" w:rsidP="00402AB7">
      <w:pPr>
        <w:pStyle w:val="Ttulo2"/>
      </w:pPr>
      <w:bookmarkStart w:id="9" w:name="_Toc234068770"/>
      <w:r>
        <w:t>II.3 Cas</w:t>
      </w:r>
      <w:r w:rsidR="00680D8F">
        <w:t>o</w:t>
      </w:r>
      <w:r>
        <w:t xml:space="preserve"> de estudio</w:t>
      </w:r>
      <w:bookmarkEnd w:id="9"/>
    </w:p>
    <w:p w14:paraId="1320BC3D" w14:textId="77777777" w:rsidR="00C754AC" w:rsidRDefault="00000000">
      <w:pPr>
        <w:spacing w:before="100" w:after="100" w:line="276" w:lineRule="auto"/>
        <w:jc w:val="both"/>
      </w:pPr>
      <w:r>
        <w:t xml:space="preserve">La elección de Arauco como caso de estudio responde a la relevancia económica, ambiental y estructural del sector en que opera. El sector forestal es uno de los sectores exportadores más importantes de Chile, tradicionalmente ubicado entre los principales después de la minería: solo entre enero y septiembre de 2024 las exportaciones forestales del país alcanzaron unos 4.073 millones de dólares </w:t>
      </w:r>
      <w:r>
        <w:rPr>
          <w:rStyle w:val="Hipervnculo"/>
        </w:rPr>
        <w:t>[</w:t>
      </w:r>
      <w:hyperlink w:anchor="_Ref23" w:history="1">
        <w:r>
          <w:rPr>
            <w:rStyle w:val="Hipervnculo"/>
          </w:rPr>
          <w:t>22</w:t>
        </w:r>
      </w:hyperlink>
      <w:r>
        <w:rPr>
          <w:rStyle w:val="Hipervnculo"/>
        </w:rPr>
        <w:t>]</w:t>
      </w:r>
      <w:r>
        <w:t xml:space="preserve">. Dentro de ese sector, la producción de celulosa se concentra en muy </w:t>
      </w:r>
      <w:r>
        <w:lastRenderedPageBreak/>
        <w:t>pocos actores, ya que Arauco y CMPC son las dos grandes productoras de celulosa del país, lo que otorga a cada una un peso decisivo en la cadena productiva nacional.</w:t>
      </w:r>
    </w:p>
    <w:p w14:paraId="69E23804" w14:textId="77777777" w:rsidR="00C754AC" w:rsidRDefault="00000000">
      <w:pPr>
        <w:spacing w:before="100" w:after="100" w:line="276" w:lineRule="auto"/>
        <w:jc w:val="both"/>
      </w:pPr>
      <w:r>
        <w:t xml:space="preserve">Arauco es, además, una de las mayores empresas forestales del mundo, con operaciones en varios países y seis plantas de celulosa en Chile, y ha reforzado su perfil de sostenibilidad mediante la emisión de bonos sostenibles por unos 500 millones de dólares en 2023 </w:t>
      </w:r>
      <w:r>
        <w:rPr>
          <w:rStyle w:val="Hipervnculo"/>
        </w:rPr>
        <w:t>[</w:t>
      </w:r>
      <w:hyperlink w:anchor="_Ref24" w:history="1">
        <w:r>
          <w:rPr>
            <w:rStyle w:val="Hipervnculo"/>
          </w:rPr>
          <w:t>2</w:t>
        </w:r>
        <w:r>
          <w:rPr>
            <w:rStyle w:val="Hipervnculo"/>
          </w:rPr>
          <w:t>3</w:t>
        </w:r>
      </w:hyperlink>
      <w:r>
        <w:rPr>
          <w:rStyle w:val="Hipervnculo"/>
        </w:rPr>
        <w:t>]</w:t>
      </w:r>
      <w:r>
        <w:t>. Por su escala, la actividad forestal y de celulosa conlleva un impacto ambiental y social significativo, con un uso intensivo de suelo, agua y energía, lo que hace especialmente pertinente gestionar de forma estructurada sus riesgos operacionales. Estudiar los macroprocesos de apoyo de una compañía de esta magnitud permite que los resultados tengan impacto real y sean, a la vez, representativos de una industria estratégica para el país.</w:t>
      </w:r>
    </w:p>
    <w:p w14:paraId="268BD2B6" w14:textId="77777777" w:rsidR="00623319" w:rsidRDefault="00623319">
      <w:pPr>
        <w:pStyle w:val="Ttulo3"/>
      </w:pPr>
    </w:p>
    <w:p w14:paraId="5D1F611D" w14:textId="77777777" w:rsidR="00DF1E73" w:rsidRDefault="00000000">
      <w:pPr>
        <w:spacing w:before="100" w:after="100" w:line="276" w:lineRule="auto"/>
        <w:jc w:val="both"/>
      </w:pPr>
      <w:r>
        <w:t>El caso de estudio corresponde al Negocio de Celulosa de Arauco. Tanto Gestión de Personas como Servicios Generales son macroprocesos de apoyo transversales, que se definen a nivel del negocio y se ejecutan en sus seis plantas productivas. Por esta razón, la unidad de análisis es el Negocio de Celulosa en su conjunto y no una planta en particular.</w:t>
      </w:r>
    </w:p>
    <w:p w14:paraId="17DD7CF0" w14:textId="77777777" w:rsidR="00DF1E73" w:rsidRDefault="00DF1E73"/>
    <w:p w14:paraId="270ED024" w14:textId="77777777" w:rsidR="00DF1E73" w:rsidRDefault="00000000">
      <w:pPr>
        <w:spacing w:before="100" w:after="100" w:line="276" w:lineRule="auto"/>
        <w:jc w:val="both"/>
      </w:pPr>
      <w:r>
        <w:t>Los macroprocesos objeto de estudio son:</w:t>
      </w:r>
    </w:p>
    <w:p w14:paraId="7E53BD75" w14:textId="77777777" w:rsidR="00DF1E73" w:rsidRDefault="00000000">
      <w:pPr>
        <w:pStyle w:val="Prrafodelista"/>
        <w:numPr>
          <w:ilvl w:val="0"/>
          <w:numId w:val="2"/>
        </w:numPr>
        <w:spacing w:before="60" w:after="60" w:line="276" w:lineRule="auto"/>
        <w:jc w:val="both"/>
      </w:pPr>
      <w:r>
        <w:t xml:space="preserve">MP8. Gestión de Personas: macroproceso de apoyo responsable de la administración del ciclo de vida del colaborador en la organización, abarcando desde la atracción y selección hasta la desvinculación, incluyendo la gestión del desempeño, capacitación, bienestar y relaciones laborales. Comprende ocho grandes áreas funcionales (denominadas internamente A </w:t>
      </w:r>
      <w:proofErr w:type="spellStart"/>
      <w:r>
        <w:t>a</w:t>
      </w:r>
      <w:proofErr w:type="spellEnd"/>
      <w:r>
        <w:t xml:space="preserve"> H).</w:t>
      </w:r>
    </w:p>
    <w:p w14:paraId="6D981D2C" w14:textId="77777777" w:rsidR="00DF1E73" w:rsidRDefault="00000000">
      <w:pPr>
        <w:pStyle w:val="Prrafodelista"/>
        <w:numPr>
          <w:ilvl w:val="0"/>
          <w:numId w:val="2"/>
        </w:numPr>
        <w:spacing w:before="60" w:after="60" w:line="276" w:lineRule="auto"/>
        <w:jc w:val="both"/>
      </w:pPr>
      <w:r>
        <w:t>MP21. Servicios Generales: macroproceso de apoyo responsable de la gestión de los servicios de soporte operacional de las plantas, incluyendo la gestión estratégica, planificación, administración y terminación de contratos de servicios. Comprende once subprocesos distribuidos en cuatro áreas funcionales.</w:t>
      </w:r>
    </w:p>
    <w:p w14:paraId="7FA421EF" w14:textId="77777777" w:rsidR="00DF1E73" w:rsidRDefault="00DF1E73"/>
    <w:p w14:paraId="3BC60E6A" w14:textId="2767E1A7" w:rsidR="00623319" w:rsidRDefault="00000000">
      <w:pPr>
        <w:spacing w:before="100" w:after="100" w:line="276" w:lineRule="auto"/>
        <w:jc w:val="both"/>
      </w:pPr>
      <w:r>
        <w:t>El levantamiento y la validación se realizarán con los dueños de proceso de MP8 y MP21 a nivel de negocio, es decir, con los responsables corporativos que definen ambos macroprocesos para el conjunto de las plantas. La elección de este nivel de análisis obedece a la naturaleza transversal de los macroprocesos y a la disposición formal de la organización para participar en el desarrollo de esta AFE.</w:t>
      </w:r>
    </w:p>
    <w:p w14:paraId="5088DAAB" w14:textId="5D507090" w:rsidR="00623319" w:rsidRDefault="00623319" w:rsidP="00E1494A">
      <w:pPr>
        <w:pStyle w:val="Ttulo2"/>
      </w:pPr>
      <w:bookmarkStart w:id="10" w:name="_Toc234068771"/>
      <w:r>
        <w:t>II.4 Contexto organizacional: Arauco y el Modelo de Gestión Operacional</w:t>
      </w:r>
      <w:bookmarkEnd w:id="10"/>
    </w:p>
    <w:p w14:paraId="1997E1C1" w14:textId="5482579C" w:rsidR="00DF1E73" w:rsidRDefault="00623319" w:rsidP="00680D8F">
      <w:pPr>
        <w:spacing w:before="100" w:after="100" w:line="276" w:lineRule="auto"/>
        <w:jc w:val="both"/>
      </w:pPr>
      <w:r>
        <w:t xml:space="preserve">Celulosa Arauco y Constitución S.A., en adelante Arauco, es una de las mayores empresas forestales del mundo, con operaciones en Chile, Argentina, Brasil, Uruguay y Norteamérica. Su Negocio de Celulosa en Chile opera seis plantas productivas, ubicadas en Arauco, Valdivia, Nueva Aldea, </w:t>
      </w:r>
      <w:proofErr w:type="spellStart"/>
      <w:r>
        <w:t>Licancel</w:t>
      </w:r>
      <w:proofErr w:type="spellEnd"/>
      <w:r>
        <w:t>, Constitución y Horcones, que ejecutan los mismos macroprocesos de apoyo con distintos grados de estandarización. La compañía cuenta con un Modelo de Gestión Operacional que fija los lineamientos para gestionar sus procesos, pero los macroprocesos de Gestión de Personas y Servicios Generales todavía no disponen de una arquitectura formalizada bajo ese modelo. Esa ausencia genera brechas de estandarización entre plantas y limita la capacidad de identificar los riesgos operacionales de manera sistemática.</w:t>
      </w:r>
    </w:p>
    <w:p w14:paraId="3264C956" w14:textId="77777777" w:rsidR="00134148" w:rsidRDefault="00134148">
      <w:pPr>
        <w:rPr>
          <w:b/>
          <w:bCs/>
          <w:color w:val="000000" w:themeColor="text1"/>
          <w:sz w:val="28"/>
          <w:szCs w:val="28"/>
        </w:rPr>
      </w:pPr>
      <w:r>
        <w:br w:type="page"/>
      </w:r>
    </w:p>
    <w:p w14:paraId="72BC7AA2" w14:textId="1AE7318E" w:rsidR="00DF1E73" w:rsidRDefault="00623319">
      <w:pPr>
        <w:pStyle w:val="Ttulo1"/>
      </w:pPr>
      <w:bookmarkStart w:id="11" w:name="_Toc234068772"/>
      <w:r>
        <w:lastRenderedPageBreak/>
        <w:t>III. OBJETIVOS</w:t>
      </w:r>
      <w:bookmarkEnd w:id="11"/>
    </w:p>
    <w:p w14:paraId="43B98AAB" w14:textId="77777777" w:rsidR="00DF1E73" w:rsidRPr="00002B21" w:rsidRDefault="00000000">
      <w:pPr>
        <w:spacing w:before="200" w:after="100"/>
      </w:pPr>
      <w:r w:rsidRPr="00002B21">
        <w:rPr>
          <w:b/>
          <w:bCs/>
          <w:sz w:val="22"/>
          <w:szCs w:val="22"/>
        </w:rPr>
        <w:t>Objetivo General</w:t>
      </w:r>
    </w:p>
    <w:p w14:paraId="400998AA" w14:textId="77777777" w:rsidR="00DF1E73" w:rsidRDefault="00000000">
      <w:pPr>
        <w:spacing w:before="100" w:after="100" w:line="276" w:lineRule="auto"/>
        <w:jc w:val="both"/>
      </w:pPr>
      <w:r>
        <w:t>Estructurar un sistema de gestión de riesgos basado en la metodología COSO II para los macroprocesos de Gestión de Personas (MP8) y Servicios Generales (MP21) del Negocio de Celulosa de Celulosa Arauco y Constitución S.A.</w:t>
      </w:r>
    </w:p>
    <w:p w14:paraId="4B3283BB" w14:textId="77777777" w:rsidR="00DF1E73" w:rsidRDefault="00DF1E73"/>
    <w:p w14:paraId="6BF46BD5" w14:textId="77777777" w:rsidR="00DF1E73" w:rsidRPr="00002B21" w:rsidRDefault="00000000">
      <w:pPr>
        <w:spacing w:before="200" w:after="100"/>
      </w:pPr>
      <w:r w:rsidRPr="00002B21">
        <w:rPr>
          <w:b/>
          <w:bCs/>
          <w:sz w:val="22"/>
          <w:szCs w:val="22"/>
        </w:rPr>
        <w:t>Objetivos Específicos</w:t>
      </w:r>
    </w:p>
    <w:p w14:paraId="1AD9AE7C" w14:textId="77777777" w:rsidR="00DF1E73" w:rsidRDefault="00000000">
      <w:pPr>
        <w:pStyle w:val="Prrafodelista"/>
        <w:numPr>
          <w:ilvl w:val="0"/>
          <w:numId w:val="3"/>
        </w:numPr>
        <w:spacing w:before="60" w:after="60" w:line="276" w:lineRule="auto"/>
        <w:jc w:val="both"/>
      </w:pPr>
      <w:r>
        <w:t>Modelar la arquitectura de procesos de los macroprocesos Gestión de Personas (MP8) y Servicios Generales (MP21), desde sus procesos hasta sus tareas, bajo el marco del Modelo de Gestión Operacional (MGO).</w:t>
      </w:r>
    </w:p>
    <w:p w14:paraId="2C07984D" w14:textId="77777777" w:rsidR="00DF1E73" w:rsidRDefault="00DF1E73"/>
    <w:p w14:paraId="3A6A7FDD" w14:textId="77777777" w:rsidR="00DF1E73" w:rsidRDefault="00000000">
      <w:pPr>
        <w:pStyle w:val="Prrafodelista"/>
        <w:numPr>
          <w:ilvl w:val="0"/>
          <w:numId w:val="3"/>
        </w:numPr>
        <w:spacing w:before="60" w:after="60" w:line="276" w:lineRule="auto"/>
        <w:jc w:val="both"/>
      </w:pPr>
      <w:r>
        <w:t>Evaluar los riesgos operacionales asociados a las tareas modeladas de ambos macroprocesos mediante la metodología COSO II.</w:t>
      </w:r>
    </w:p>
    <w:p w14:paraId="22B81C7A" w14:textId="77777777" w:rsidR="00DF1E73" w:rsidRDefault="00DF1E73"/>
    <w:p w14:paraId="0C2929F9" w14:textId="77777777" w:rsidR="00DF1E73" w:rsidRDefault="00000000">
      <w:pPr>
        <w:pStyle w:val="Prrafodelista"/>
        <w:numPr>
          <w:ilvl w:val="0"/>
          <w:numId w:val="3"/>
        </w:numPr>
        <w:spacing w:before="60" w:after="60" w:line="276" w:lineRule="auto"/>
        <w:jc w:val="both"/>
      </w:pPr>
      <w:r>
        <w:t>Elaborar el sistema de gestión de riesgos para MP8 y MP21, integrando el catálogo de riesgos y sus planes de mitigación bajo la metodología COSO II.</w:t>
      </w:r>
    </w:p>
    <w:p w14:paraId="223BEB08" w14:textId="77777777" w:rsidR="00DF1E73" w:rsidRDefault="00DF1E73"/>
    <w:p w14:paraId="4BC86108" w14:textId="613F5D3A" w:rsidR="00134148" w:rsidRPr="00134148" w:rsidRDefault="00000000" w:rsidP="00134148">
      <w:pPr>
        <w:rPr>
          <w:b/>
          <w:bCs/>
          <w:sz w:val="22"/>
          <w:szCs w:val="22"/>
        </w:rPr>
      </w:pPr>
      <w:r w:rsidRPr="00002B21">
        <w:rPr>
          <w:b/>
          <w:bCs/>
          <w:sz w:val="22"/>
          <w:szCs w:val="22"/>
        </w:rPr>
        <w:t>Alcance de los Objetivos</w:t>
      </w:r>
    </w:p>
    <w:p w14:paraId="76DB7876" w14:textId="77777777" w:rsidR="00DF1E73" w:rsidRDefault="00000000">
      <w:pPr>
        <w:spacing w:before="100" w:after="100" w:line="276" w:lineRule="auto"/>
        <w:jc w:val="both"/>
      </w:pPr>
      <w:r>
        <w:t>El modelamiento de la arquitectura de procesos (OE1) abarcará cinco niveles jerárquicos (macroproceso, proceso, subproceso, actividad y tarea) para ambos macroprocesos, utilizando el MGO de Arauco como marco normativo de referencia y el Process Classification Framework (PCF) de APQC v8.0 como referencia de clasificación de apoyo. La evaluación de riesgos (OE2) se aplicará sobre la totalidad de las tareas modeladas en OE1, conforme a la metodología COSO II. La elaboración del sistema de gestión de riesgos (OE3) integrará el catálogo de riesgos evaluados con sus planes de mitigación y una capa de gobernanza y monitoreo.</w:t>
      </w:r>
    </w:p>
    <w:p w14:paraId="5CA94605" w14:textId="77777777" w:rsidR="00DF1E73" w:rsidRDefault="00DF1E73"/>
    <w:p w14:paraId="68CCB968" w14:textId="7D3665E9" w:rsidR="00DF1E73" w:rsidRDefault="00000000" w:rsidP="003C6FB6">
      <w:pPr>
        <w:spacing w:before="100" w:after="100" w:line="276" w:lineRule="auto"/>
        <w:jc w:val="both"/>
      </w:pPr>
      <w:r>
        <w:t>El trabajo se desarrolla sobre el Negocio de Celulosa de Arauco, cuyos macroprocesos MP8 y MP21 son transversales a las seis plantas. El entregable final de esta AFE es un sistema de gestión de riesgos basado en COSO II para ambos macroprocesos, sustentado en la arquitectura de procesos modelada (manuales de procesos MP8 y MP21) y en el catálogo de riesgos con sus planes de mitigación. El AFE no incluye la implementación del sistema ni la ejecución de los planes de mitigación diseñados.</w:t>
      </w:r>
    </w:p>
    <w:p w14:paraId="10F1B602" w14:textId="77777777" w:rsidR="00DF1E73" w:rsidRDefault="00000000">
      <w:pPr>
        <w:pStyle w:val="Ttulo1"/>
      </w:pPr>
      <w:bookmarkStart w:id="12" w:name="_Toc234068773"/>
      <w:r>
        <w:t>IV. METODOLOGÍA</w:t>
      </w:r>
      <w:bookmarkEnd w:id="12"/>
    </w:p>
    <w:p w14:paraId="23E01B6F" w14:textId="77777777" w:rsidR="00DF1E73" w:rsidRDefault="00000000">
      <w:pPr>
        <w:spacing w:before="100" w:after="100" w:line="276" w:lineRule="auto"/>
        <w:jc w:val="both"/>
      </w:pPr>
      <w:r>
        <w:t xml:space="preserve">El presente trabajo se enmarca en un diseño de investigación descriptivo-aplicado con estrategia descriptiva de tipo observacional, conforme a la clasificación de diseños de investigación propuesta por Ato, López y Benavente </w:t>
      </w:r>
      <w:r>
        <w:rPr>
          <w:rStyle w:val="Hipervnculo"/>
        </w:rPr>
        <w:t>[</w:t>
      </w:r>
      <w:hyperlink w:anchor="_Ref20" w:history="1">
        <w:r w:rsidR="00DF1E73">
          <w:rPr>
            <w:rStyle w:val="Hipervnculo"/>
          </w:rPr>
          <w:t>24</w:t>
        </w:r>
      </w:hyperlink>
      <w:r>
        <w:rPr>
          <w:rStyle w:val="Hipervnculo"/>
        </w:rPr>
        <w:t>]</w:t>
      </w:r>
      <w:r>
        <w:t>. Se trata de un estudio de caso único, el Negocio de Celulosa de Arauco, de carácter no experimental, prospectivo y transversal respecto del modelamiento, y longitudinal respecto de la evaluación de riesgos y la elaboración del sistema.</w:t>
      </w:r>
    </w:p>
    <w:p w14:paraId="67892758" w14:textId="77777777" w:rsidR="00DF1E73" w:rsidRDefault="00DF1E73"/>
    <w:p w14:paraId="13B759C0" w14:textId="77777777" w:rsidR="00DF1E73" w:rsidRDefault="00000000">
      <w:pPr>
        <w:spacing w:before="100" w:after="100" w:line="276" w:lineRule="auto"/>
        <w:jc w:val="both"/>
      </w:pPr>
      <w:r>
        <w:t>La investigación no busca probar hipótesis causales ni generar resultados estadísticamente generalizables</w:t>
      </w:r>
      <w:r w:rsidR="00CC0BD6">
        <w:t>.</w:t>
      </w:r>
      <w:r>
        <w:t xml:space="preserve"> El propósito es documentar y analizar el estado actual de los macroprocesos MP8 y MP21, modelar su arquitectura bajo el MGO e identificar sus riesgos operacionales, generando entregables de valor directo para la organización.</w:t>
      </w:r>
    </w:p>
    <w:p w14:paraId="7BFADB1C" w14:textId="77777777" w:rsidR="00DF1E73" w:rsidRDefault="00DF1E73"/>
    <w:p w14:paraId="61B4C27F" w14:textId="77777777" w:rsidR="00DF1E73" w:rsidRDefault="00000000">
      <w:pPr>
        <w:spacing w:before="100" w:after="100" w:line="276" w:lineRule="auto"/>
        <w:jc w:val="both"/>
      </w:pPr>
      <w:r>
        <w:t>A continuación se describe la metodología para el cumplimiento de cada objetivo específico.</w:t>
      </w:r>
    </w:p>
    <w:p w14:paraId="6E966F9B" w14:textId="77777777" w:rsidR="002742B3" w:rsidRDefault="00000000">
      <w:pPr>
        <w:spacing w:before="120" w:after="60" w:line="276" w:lineRule="auto"/>
        <w:jc w:val="both"/>
      </w:pPr>
      <w:r>
        <w:lastRenderedPageBreak/>
        <w:t>La Ilustración 1 sintetiza la secuencia metodológica del trabajo y su articulación con los objetivos específicos y sus indicadores de logro.</w:t>
      </w:r>
    </w:p>
    <w:p w14:paraId="1C44759C" w14:textId="77777777" w:rsidR="00CC0BD6" w:rsidRDefault="00CC0BD6">
      <w:pPr>
        <w:spacing w:before="120" w:after="60" w:line="276" w:lineRule="auto"/>
        <w:jc w:val="both"/>
      </w:pPr>
    </w:p>
    <w:tbl>
      <w:tblPr>
        <w:tblW w:w="9000" w:type="dxa"/>
        <w:jc w:val="center"/>
        <w:tblBorders>
          <w:top w:val="nil"/>
          <w:left w:val="nil"/>
          <w:bottom w:val="nil"/>
          <w:right w:val="nil"/>
          <w:insideH w:val="nil"/>
          <w:insideV w:val="nil"/>
        </w:tblBorders>
        <w:tblCellMar>
          <w:top w:w="40" w:type="dxa"/>
          <w:left w:w="120" w:type="dxa"/>
          <w:bottom w:w="40" w:type="dxa"/>
          <w:right w:w="120" w:type="dxa"/>
        </w:tblCellMar>
        <w:tblLook w:val="0600" w:firstRow="0" w:lastRow="0" w:firstColumn="0" w:lastColumn="0" w:noHBand="1" w:noVBand="1"/>
      </w:tblPr>
      <w:tblGrid>
        <w:gridCol w:w="9000"/>
      </w:tblGrid>
      <w:tr w:rsidR="002742B3" w14:paraId="1CF3667B"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0960B585" w14:textId="77777777" w:rsidR="002742B3" w:rsidRDefault="00000000">
            <w:pPr>
              <w:spacing w:before="40"/>
              <w:jc w:val="center"/>
            </w:pPr>
            <w:r>
              <w:rPr>
                <w:b/>
                <w:bCs/>
                <w:color w:val="000000"/>
              </w:rPr>
              <w:t>OE1. Modelamiento de la arquitectura de procesos</w:t>
            </w:r>
          </w:p>
          <w:p w14:paraId="5E206C9B" w14:textId="77777777" w:rsidR="002742B3" w:rsidRDefault="00000000">
            <w:pPr>
              <w:spacing w:after="40"/>
              <w:jc w:val="center"/>
            </w:pPr>
            <w:r>
              <w:rPr>
                <w:color w:val="000000"/>
                <w:sz w:val="18"/>
                <w:szCs w:val="18"/>
              </w:rPr>
              <w:t>Arquitectura de MP8 y MP21 en cinco niveles (proceso → subproceso → actividad → tarea) bajo el MGO. Indicador: CAP (Cobertura de Arquitectura de Procesos).</w:t>
            </w:r>
          </w:p>
        </w:tc>
      </w:tr>
      <w:tr w:rsidR="002742B3" w14:paraId="1B5BCC21" w14:textId="77777777">
        <w:trPr>
          <w:jc w:val="center"/>
        </w:trPr>
        <w:tc>
          <w:tcPr>
            <w:tcW w:w="9000" w:type="dxa"/>
            <w:tcBorders>
              <w:top w:val="nil"/>
              <w:left w:val="nil"/>
              <w:bottom w:val="nil"/>
              <w:right w:val="nil"/>
            </w:tcBorders>
          </w:tcPr>
          <w:p w14:paraId="40AF2CF0" w14:textId="77777777" w:rsidR="002742B3" w:rsidRDefault="00000000">
            <w:pPr>
              <w:spacing w:before="20" w:after="20"/>
              <w:jc w:val="center"/>
            </w:pPr>
            <w:r>
              <w:rPr>
                <w:b/>
                <w:color w:val="000000"/>
                <w:sz w:val="28"/>
                <w:szCs w:val="28"/>
              </w:rPr>
              <w:t>↓</w:t>
            </w:r>
          </w:p>
        </w:tc>
      </w:tr>
      <w:tr w:rsidR="002742B3" w14:paraId="4056F24E"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2BB2D8C5" w14:textId="77777777" w:rsidR="002742B3" w:rsidRDefault="00000000">
            <w:pPr>
              <w:spacing w:before="40"/>
              <w:jc w:val="center"/>
            </w:pPr>
            <w:r>
              <w:rPr>
                <w:b/>
                <w:bCs/>
                <w:color w:val="000000"/>
              </w:rPr>
              <w:t>OE2. Evaluación de riesgos por tarea (COSO II)</w:t>
            </w:r>
          </w:p>
          <w:p w14:paraId="0732BBB0" w14:textId="77777777" w:rsidR="002742B3" w:rsidRDefault="00000000">
            <w:pPr>
              <w:spacing w:after="40"/>
              <w:jc w:val="center"/>
            </w:pPr>
            <w:r>
              <w:rPr>
                <w:color w:val="000000"/>
                <w:sz w:val="18"/>
                <w:szCs w:val="18"/>
              </w:rPr>
              <w:t>Identificación de eventos y valoración: riesgo inherente, controles y riesgo residual. Indicador: TCER (Tasa de Cobertura de Evaluación de Riesgos).</w:t>
            </w:r>
          </w:p>
        </w:tc>
      </w:tr>
      <w:tr w:rsidR="002742B3" w14:paraId="58E0C59B" w14:textId="77777777">
        <w:trPr>
          <w:jc w:val="center"/>
        </w:trPr>
        <w:tc>
          <w:tcPr>
            <w:tcW w:w="9000" w:type="dxa"/>
            <w:tcBorders>
              <w:top w:val="nil"/>
              <w:left w:val="nil"/>
              <w:bottom w:val="nil"/>
              <w:right w:val="nil"/>
            </w:tcBorders>
          </w:tcPr>
          <w:p w14:paraId="629A69FC" w14:textId="77777777" w:rsidR="002742B3" w:rsidRDefault="00000000">
            <w:pPr>
              <w:spacing w:before="20" w:after="20"/>
              <w:jc w:val="center"/>
            </w:pPr>
            <w:r>
              <w:rPr>
                <w:b/>
                <w:color w:val="000000"/>
                <w:sz w:val="28"/>
                <w:szCs w:val="28"/>
              </w:rPr>
              <w:t>↓</w:t>
            </w:r>
          </w:p>
        </w:tc>
      </w:tr>
      <w:tr w:rsidR="002742B3" w14:paraId="13D8D841"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4209BC13" w14:textId="77777777" w:rsidR="002742B3" w:rsidRDefault="00000000">
            <w:pPr>
              <w:spacing w:before="40"/>
              <w:jc w:val="center"/>
            </w:pPr>
            <w:r>
              <w:rPr>
                <w:b/>
                <w:bCs/>
                <w:color w:val="000000"/>
              </w:rPr>
              <w:t>OE3. Elaboración del sistema de gestión de riesgos</w:t>
            </w:r>
          </w:p>
          <w:p w14:paraId="0A810CE8" w14:textId="77777777" w:rsidR="002742B3" w:rsidRDefault="00000000">
            <w:pPr>
              <w:spacing w:after="40"/>
              <w:jc w:val="center"/>
            </w:pPr>
            <w:r>
              <w:rPr>
                <w:color w:val="000000"/>
                <w:sz w:val="18"/>
                <w:szCs w:val="18"/>
              </w:rPr>
              <w:t>Integración del catálogo de riesgos, los planes de mitigación y una capa de gobernanza y monitoreo. Indicador: CRPM (Cobertura de Riesgos con Plan de Mitigación).</w:t>
            </w:r>
          </w:p>
        </w:tc>
      </w:tr>
      <w:tr w:rsidR="002742B3" w14:paraId="1FA7DBA3" w14:textId="77777777">
        <w:trPr>
          <w:jc w:val="center"/>
        </w:trPr>
        <w:tc>
          <w:tcPr>
            <w:tcW w:w="9000" w:type="dxa"/>
            <w:tcBorders>
              <w:top w:val="nil"/>
              <w:left w:val="nil"/>
              <w:bottom w:val="nil"/>
              <w:right w:val="nil"/>
            </w:tcBorders>
          </w:tcPr>
          <w:p w14:paraId="00ED0365" w14:textId="77777777" w:rsidR="002742B3" w:rsidRDefault="00000000">
            <w:pPr>
              <w:spacing w:before="20" w:after="20"/>
              <w:jc w:val="center"/>
            </w:pPr>
            <w:r>
              <w:rPr>
                <w:b/>
                <w:color w:val="000000"/>
                <w:sz w:val="28"/>
                <w:szCs w:val="28"/>
              </w:rPr>
              <w:t>↓</w:t>
            </w:r>
          </w:p>
        </w:tc>
      </w:tr>
      <w:tr w:rsidR="002742B3" w14:paraId="22276225" w14:textId="77777777">
        <w:trPr>
          <w:jc w:val="center"/>
        </w:trPr>
        <w:tc>
          <w:tcPr>
            <w:tcW w:w="9000" w:type="dxa"/>
            <w:tcBorders>
              <w:top w:val="single" w:sz="6" w:space="0" w:color="595959"/>
              <w:left w:val="single" w:sz="6" w:space="0" w:color="595959"/>
              <w:bottom w:val="single" w:sz="6" w:space="0" w:color="595959"/>
              <w:right w:val="single" w:sz="6" w:space="0" w:color="595959"/>
            </w:tcBorders>
            <w:shd w:val="clear" w:color="auto" w:fill="F2F2F2"/>
            <w:vAlign w:val="center"/>
          </w:tcPr>
          <w:p w14:paraId="05A1BA8F" w14:textId="77777777" w:rsidR="002742B3" w:rsidRDefault="00000000">
            <w:pPr>
              <w:spacing w:before="40"/>
              <w:jc w:val="center"/>
            </w:pPr>
            <w:r>
              <w:rPr>
                <w:b/>
                <w:bCs/>
                <w:color w:val="000000"/>
              </w:rPr>
              <w:t>Entregable</w:t>
            </w:r>
          </w:p>
          <w:p w14:paraId="287EC3B9" w14:textId="77777777" w:rsidR="002742B3" w:rsidRDefault="00000000">
            <w:pPr>
              <w:spacing w:after="40"/>
              <w:jc w:val="center"/>
            </w:pPr>
            <w:r>
              <w:rPr>
                <w:color w:val="000000"/>
                <w:sz w:val="18"/>
                <w:szCs w:val="18"/>
              </w:rPr>
              <w:t>Sistema de gestión de riesgos COSO II para MP8 y MP21, sustentado en la arquitectura de procesos modelada (manuales MP8 y MP21) y en el catálogo de riesgos con sus planes de mitigación.</w:t>
            </w:r>
          </w:p>
        </w:tc>
      </w:tr>
    </w:tbl>
    <w:p w14:paraId="5BECDDAC" w14:textId="77777777" w:rsidR="002742B3" w:rsidRDefault="00000000">
      <w:pPr>
        <w:spacing w:before="60" w:after="160"/>
        <w:jc w:val="center"/>
      </w:pPr>
      <w:bookmarkStart w:id="13" w:name="_Toc233993445"/>
      <w:r>
        <w:rPr>
          <w:b/>
          <w:bCs/>
          <w:sz w:val="18"/>
          <w:szCs w:val="18"/>
        </w:rPr>
        <w:t xml:space="preserve">Ilustración </w:t>
      </w:r>
      <w:r>
        <w:rPr>
          <w:b/>
          <w:bCs/>
          <w:sz w:val="18"/>
          <w:szCs w:val="18"/>
        </w:rPr>
        <w:fldChar w:fldCharType="begin"/>
      </w:r>
      <w:r>
        <w:rPr>
          <w:b/>
          <w:bCs/>
          <w:sz w:val="18"/>
          <w:szCs w:val="18"/>
        </w:rPr>
        <w:instrText xml:space="preserve"> SEQ Ilustración \* ARABIC </w:instrText>
      </w:r>
      <w:r>
        <w:rPr>
          <w:b/>
          <w:bCs/>
          <w:sz w:val="18"/>
          <w:szCs w:val="18"/>
        </w:rPr>
        <w:fldChar w:fldCharType="separate"/>
      </w:r>
      <w:r w:rsidR="00331978">
        <w:rPr>
          <w:b/>
          <w:bCs/>
          <w:noProof/>
          <w:sz w:val="18"/>
          <w:szCs w:val="18"/>
        </w:rPr>
        <w:t>1</w:t>
      </w:r>
      <w:r>
        <w:rPr>
          <w:b/>
          <w:bCs/>
          <w:sz w:val="18"/>
          <w:szCs w:val="18"/>
        </w:rPr>
        <w:fldChar w:fldCharType="end"/>
      </w:r>
      <w:r>
        <w:rPr>
          <w:sz w:val="18"/>
          <w:szCs w:val="18"/>
        </w:rPr>
        <w:t>. Flujo metodológico del trabajo de AFE.</w:t>
      </w:r>
      <w:bookmarkEnd w:id="13"/>
    </w:p>
    <w:p w14:paraId="290108D5" w14:textId="77777777" w:rsidR="00DF1E73" w:rsidRDefault="00DF1E73"/>
    <w:p w14:paraId="6A12918E" w14:textId="77777777" w:rsidR="00725D7A" w:rsidRDefault="00000000" w:rsidP="00C712FB">
      <w:pPr>
        <w:spacing w:before="200" w:after="100"/>
        <w:rPr>
          <w:b/>
          <w:bCs/>
          <w:sz w:val="22"/>
          <w:szCs w:val="22"/>
        </w:rPr>
      </w:pPr>
      <w:r>
        <w:rPr>
          <w:b/>
          <w:bCs/>
          <w:sz w:val="22"/>
          <w:szCs w:val="22"/>
        </w:rPr>
        <w:t>Para lograr el Objetivo Específico 1 (OE1), se considera lo siguiente:</w:t>
      </w:r>
    </w:p>
    <w:p w14:paraId="6EE0946D" w14:textId="394A14F3" w:rsidR="00DF1E73" w:rsidRDefault="00000000" w:rsidP="00C712FB">
      <w:pPr>
        <w:spacing w:before="200" w:after="100"/>
      </w:pPr>
      <w:r>
        <w:t>El indicador de logro asociado a este objetivo es la Cobertura de Arquitectura de Procesos (CAP), definida como el porcentaje de procesos, subprocesos, actividades y tareas de MP8 y MP21 formalmente modelados en los cinco niveles jerárquicos bajo el MGO. El estado inicial es la ausencia de una arquitectura de procesos formal; el estado final esperado es el 100% de la arquitectura modelada y consolidada en dos manuales de procesos validados.</w:t>
      </w:r>
    </w:p>
    <w:p w14:paraId="17403CB1" w14:textId="53903EF1" w:rsidR="00DF1E73" w:rsidRDefault="00000000" w:rsidP="003D1E43">
      <w:pPr>
        <w:spacing w:before="100" w:after="100" w:line="276" w:lineRule="auto"/>
        <w:jc w:val="both"/>
      </w:pPr>
      <w:r>
        <w:t>Evaluación del estado inicial: Se realizará una revisión documental de los antecedentes existentes en Arauco relativos a MP8 y MP21 (organigramas, descripciones de cargos, procedimientos y registros de proceso disponibles), que incluye un diagnóstico preliminar del grado de formalización existente. De manera complementaria, se empleará el Process Classification Framework de APQC v8.0 como referencia de clasificación para contrastar los procesos que deberían existir en macroprocesos de Gestión de Personas y Servicios Generales frente a los efectivamente documentados en Arauco.</w:t>
      </w:r>
    </w:p>
    <w:p w14:paraId="3C4DD875" w14:textId="5518C60A" w:rsidR="00DF1E73" w:rsidRDefault="00000000" w:rsidP="00ED18C8">
      <w:pPr>
        <w:spacing w:before="100" w:after="100" w:line="276" w:lineRule="auto"/>
        <w:jc w:val="both"/>
      </w:pPr>
      <w:r>
        <w:t>Intervención: El modelamiento se realizará mediante entrevistas y sesiones de trabajo con los dueños de proceso de MP8 y MP21 a nivel de negocio, avanzando desde el nivel de proceso hasta el de tarea. Para cada nivel se documentarán nombre, descripción, entradas y salidas, responsables (bajo esquema RACI simplificado), sistemas de apoyo y frecuencia de ejecución. Los resultados se consolidarán en dos manuales de procesos, primero para MP8 y luego para MP21.</w:t>
      </w:r>
    </w:p>
    <w:p w14:paraId="0FEA5D28" w14:textId="77777777" w:rsidR="00865048" w:rsidRDefault="00000000" w:rsidP="00865048">
      <w:pPr>
        <w:spacing w:before="100" w:after="100" w:line="276" w:lineRule="auto"/>
        <w:jc w:val="both"/>
      </w:pPr>
      <w:r>
        <w:t>Evaluación del indicador de logro: La CAP se calculará al cierre del modelamiento de cada macroproceso, como el cociente entre los procesos efectivamente documentados en los cinco niveles jerárquicos y el total de procesos identificados para ambos macroprocesos. El entregable de este objetivo son los dos manuales de procesos de MP8 y MP21, que se validan formalmente con los dueños de proceso a nivel de negocio, responsables corporativos de ambos macroprocesos.</w:t>
      </w:r>
    </w:p>
    <w:p w14:paraId="1F79F2B4" w14:textId="77777777" w:rsidR="00865048" w:rsidRDefault="00865048">
      <w:r>
        <w:br w:type="page"/>
      </w:r>
    </w:p>
    <w:p w14:paraId="19C6D41F" w14:textId="2D0477F0" w:rsidR="00725D7A" w:rsidRPr="00865048" w:rsidRDefault="00000000" w:rsidP="00865048">
      <w:pPr>
        <w:spacing w:before="100" w:after="100" w:line="276" w:lineRule="auto"/>
        <w:jc w:val="both"/>
      </w:pPr>
      <w:r>
        <w:rPr>
          <w:b/>
          <w:bCs/>
          <w:sz w:val="22"/>
          <w:szCs w:val="22"/>
        </w:rPr>
        <w:lastRenderedPageBreak/>
        <w:t>Para lograr el Objetivo Específico 2 (OE2), se considera lo siguiente:</w:t>
      </w:r>
    </w:p>
    <w:p w14:paraId="09950483" w14:textId="5939CEFE" w:rsidR="00DF1E73" w:rsidRDefault="00000000" w:rsidP="00725D7A">
      <w:pPr>
        <w:spacing w:before="200" w:after="100"/>
      </w:pPr>
      <w:r>
        <w:t>El indicador de logro asociado a este objetivo es la Tasa de Cobertura de Evaluación de Riesgos (TCER), definida como el porcentaje de tareas modeladas en OE1 que cuentan con al menos un riesgo identificado y valorado (riesgo inherente y residual) según COSO II. El estado inicial es la ausencia de identificación y valoración de riesgos por tarea; el estado final esperado es el 100% de las tareas evaluadas.</w:t>
      </w:r>
    </w:p>
    <w:p w14:paraId="49D61209" w14:textId="409A6FAF" w:rsidR="00DF1E73" w:rsidRDefault="00000000" w:rsidP="00A40610">
      <w:pPr>
        <w:spacing w:before="100" w:after="100" w:line="276" w:lineRule="auto"/>
        <w:jc w:val="both"/>
      </w:pPr>
      <w:r>
        <w:t>Evaluación del estado inicial: La arquitectura de procesos modelada en OE1 provee la base para la evaluación, al delimitar el universo de tareas sobre el cual se identificarán y valorarán los riesgos. Se verificará además la existencia de registros previos de gestión de riesgos en Arauco para MP8 y MP21.</w:t>
      </w:r>
    </w:p>
    <w:p w14:paraId="7D4C2B4A" w14:textId="7FBB5D7E" w:rsidR="00DF1E73" w:rsidRDefault="00000000" w:rsidP="00A40610">
      <w:pPr>
        <w:spacing w:before="100" w:after="100" w:line="276" w:lineRule="auto"/>
        <w:jc w:val="both"/>
      </w:pPr>
      <w:r>
        <w:t>Intervención: La evaluación se realizará sobre la totalidad de las tareas modeladas, aplicando la metodología COSO II. Para cada tarea se identificarán los eventos de riesgo y, para cada uno, su categoría, la probabilidad de ocurrencia, el impacto potencial, el riesgo inherente, los controles existentes y el riesgo residual. El levantamiento se efectuará mediante talleres de análisis de riesgo con los dueños de proceso, con el investigador como facilitador.</w:t>
      </w:r>
    </w:p>
    <w:p w14:paraId="360C8FA8" w14:textId="51FEB192" w:rsidR="00DF1E73" w:rsidRDefault="00000000" w:rsidP="00A40610">
      <w:pPr>
        <w:spacing w:before="100" w:after="100" w:line="276" w:lineRule="auto"/>
        <w:jc w:val="both"/>
      </w:pPr>
      <w:r>
        <w:t>Evaluación del indicador de logro: La TCER se calculará como el cociente entre las tareas con al menos un riesgo identificado y valorado bajo COSO II y el total de tareas modeladas en OE1, expresado en porcentaje. El entregable es la matriz de riesgos consolidada, que se valida con los dueños de proceso a nivel de negocio y con el Profesor Guía.</w:t>
      </w:r>
    </w:p>
    <w:p w14:paraId="41A44A4E" w14:textId="77777777" w:rsidR="00725D7A" w:rsidRDefault="00000000" w:rsidP="00725D7A">
      <w:pPr>
        <w:spacing w:before="200" w:after="100"/>
      </w:pPr>
      <w:r>
        <w:rPr>
          <w:b/>
          <w:bCs/>
          <w:sz w:val="22"/>
          <w:szCs w:val="22"/>
        </w:rPr>
        <w:t>Para lograr el Objetivo Específico 3 (OE3), se considera lo siguiente:</w:t>
      </w:r>
    </w:p>
    <w:p w14:paraId="0BF1FBEE" w14:textId="38CA3D74" w:rsidR="00DF1E73" w:rsidRDefault="00000000" w:rsidP="00725D7A">
      <w:pPr>
        <w:spacing w:before="200" w:after="100"/>
      </w:pPr>
      <w:r>
        <w:t>El indicador de logro asociado a este objetivo es la Cobertura de Riesgos con Plan de Mitigación (CRPM), definida como el porcentaje de riesgos evaluados en OE2 que quedan integrados al sistema de gestión de riesgos con un plan de mitigación documentado según COSO II. El estado inicial es la ausencia de un sistema de gestión de riesgos y de planes de mitigación; el estado final esperado es el 100% de los riesgos con plan de mitigación integrado.</w:t>
      </w:r>
    </w:p>
    <w:p w14:paraId="776D49E0" w14:textId="14F8BC2C" w:rsidR="00DF1E73" w:rsidRDefault="00000000" w:rsidP="00213D7B">
      <w:pPr>
        <w:spacing w:before="100" w:after="100" w:line="276" w:lineRule="auto"/>
        <w:jc w:val="both"/>
      </w:pPr>
      <w:r>
        <w:t>Evaluación del estado inicial: La evaluación de riesgos consolidada en OE2 constituye el insumo para la elaboración del sistema. Se verificará la existencia de controles y planes de acción previos en Arauco que puedan incorporarse al sistema.</w:t>
      </w:r>
    </w:p>
    <w:p w14:paraId="4BF423CB" w14:textId="4A680E48" w:rsidR="00DF1E73" w:rsidRDefault="00000000" w:rsidP="00213D7B">
      <w:pPr>
        <w:spacing w:before="100" w:after="100" w:line="276" w:lineRule="auto"/>
        <w:jc w:val="both"/>
      </w:pPr>
      <w:r>
        <w:t>Intervención: A partir del riesgo residual de cada riesgo evaluado se diseñarán los planes de mitigación (respuesta al riesgo). El sistema de gestión de riesgos se estructurará integrando el catálogo de riesgos y sus planes de mitigación con una capa de gobernanza (roles y responsabilidades, taxonomía de riesgos), indicadores de riesgo (KRI) y un esquema de monitoreo y reporte. El sistema de gestión de riesgos resultante se presentará y validará con la alta gerencia del Negocio de Celulosa de Arauco, por tratarse de un entregable de nivel gerencial para la toma de decisiones.</w:t>
      </w:r>
    </w:p>
    <w:p w14:paraId="636EFA5C" w14:textId="5EFF8887" w:rsidR="00DF1E73" w:rsidRDefault="00000000" w:rsidP="005152E8">
      <w:pPr>
        <w:spacing w:before="100" w:after="100" w:line="276" w:lineRule="auto"/>
        <w:jc w:val="both"/>
      </w:pPr>
      <w:r>
        <w:t>Evaluación del indicador de logro: La CRPM se calculará como el cociente entre los riesgos integrados al sistema con plan de mitigación documentado y el total de riesgos evaluados en OE2, expresado en porcentaje.</w:t>
      </w:r>
    </w:p>
    <w:p w14:paraId="33879495" w14:textId="77777777" w:rsidR="00DF1E73" w:rsidRDefault="00000000">
      <w:pPr>
        <w:spacing w:before="100" w:after="100" w:line="276" w:lineRule="auto"/>
        <w:jc w:val="both"/>
      </w:pPr>
      <w:r>
        <w:t>La siguiente tabla resume los indicadores de logro, estados iniciales y estados finales esperados para cada objetivo específico:</w:t>
      </w:r>
    </w:p>
    <w:p w14:paraId="735BE6F3" w14:textId="77777777" w:rsidR="00DF1E73" w:rsidRDefault="00DF1E73"/>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0"/>
        <w:gridCol w:w="1600"/>
        <w:gridCol w:w="3200"/>
        <w:gridCol w:w="3200"/>
      </w:tblGrid>
      <w:tr w:rsidR="002742B3" w14:paraId="0E50FC8F" w14:textId="77777777" w:rsidTr="00A72C4C">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27B7FBC7" w14:textId="77777777" w:rsidR="002742B3" w:rsidRDefault="00000000">
            <w:r>
              <w:rPr>
                <w:b/>
                <w:bCs/>
                <w:color w:val="000000"/>
                <w:sz w:val="18"/>
                <w:szCs w:val="18"/>
              </w:rPr>
              <w:t>OE</w:t>
            </w:r>
          </w:p>
        </w:tc>
        <w:tc>
          <w:tcPr>
            <w:tcW w:w="1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5842D2BD" w14:textId="77777777" w:rsidR="002742B3" w:rsidRDefault="00000000">
            <w:r>
              <w:rPr>
                <w:b/>
                <w:bCs/>
                <w:color w:val="000000"/>
                <w:sz w:val="18"/>
                <w:szCs w:val="18"/>
              </w:rPr>
              <w:t>Indicador de Logro</w:t>
            </w:r>
          </w:p>
        </w:tc>
        <w:tc>
          <w:tcPr>
            <w:tcW w:w="3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169B8783" w14:textId="77777777" w:rsidR="002742B3" w:rsidRDefault="00000000">
            <w:r>
              <w:rPr>
                <w:b/>
                <w:bCs/>
                <w:color w:val="000000"/>
                <w:sz w:val="18"/>
                <w:szCs w:val="18"/>
              </w:rPr>
              <w:t>Estado Inicial (Línea Base)</w:t>
            </w:r>
          </w:p>
        </w:tc>
        <w:tc>
          <w:tcPr>
            <w:tcW w:w="3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tcPr>
          <w:p w14:paraId="67AA60D0" w14:textId="77777777" w:rsidR="002742B3" w:rsidRDefault="00000000">
            <w:r>
              <w:rPr>
                <w:b/>
                <w:bCs/>
                <w:color w:val="000000"/>
                <w:sz w:val="18"/>
                <w:szCs w:val="18"/>
              </w:rPr>
              <w:t>Estado Final Esperado</w:t>
            </w:r>
          </w:p>
        </w:tc>
      </w:tr>
      <w:tr w:rsidR="002742B3" w14:paraId="7D28BB72"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5AA21" w14:textId="77777777" w:rsidR="002742B3" w:rsidRDefault="00000000">
            <w:pPr>
              <w:jc w:val="both"/>
            </w:pPr>
            <w:r>
              <w:rPr>
                <w:color w:val="000000"/>
                <w:sz w:val="18"/>
                <w:szCs w:val="18"/>
              </w:rPr>
              <w:t>OE1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85F7" w14:textId="77777777" w:rsidR="002742B3" w:rsidRDefault="00000000">
            <w:pPr>
              <w:jc w:val="both"/>
            </w:pPr>
            <w:r>
              <w:rPr>
                <w:color w:val="000000"/>
                <w:sz w:val="18"/>
                <w:szCs w:val="18"/>
              </w:rPr>
              <w:t>Cobertura de arquitectura de procesos (CAP)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BFD45" w14:textId="77777777" w:rsidR="002742B3" w:rsidRDefault="00000000">
            <w:pPr>
              <w:jc w:val="both"/>
            </w:pPr>
            <w:r>
              <w:rPr>
                <w:color w:val="000000"/>
                <w:sz w:val="18"/>
                <w:szCs w:val="18"/>
              </w:rPr>
              <w:t>Ausencia de una arquitectura de procesos formal de MP8 y MP21 en los cinco niveles jerárquicos bajo el MGO.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FDCE" w14:textId="77777777" w:rsidR="002742B3" w:rsidRDefault="00000000">
            <w:pPr>
              <w:jc w:val="both"/>
            </w:pPr>
            <w:r>
              <w:rPr>
                <w:color w:val="000000"/>
                <w:sz w:val="18"/>
                <w:szCs w:val="18"/>
              </w:rPr>
              <w:t>100% de la arquitectura de MP8 y MP21 modelada en cinco niveles, consolidada en dos manuales de procesos validados.</w:t>
            </w:r>
          </w:p>
        </w:tc>
      </w:tr>
      <w:tr w:rsidR="002742B3" w14:paraId="2CB495F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C0F09" w14:textId="77777777" w:rsidR="002742B3" w:rsidRDefault="00000000">
            <w:pPr>
              <w:jc w:val="both"/>
            </w:pPr>
            <w:r>
              <w:rPr>
                <w:color w:val="000000"/>
                <w:sz w:val="18"/>
                <w:szCs w:val="18"/>
              </w:rPr>
              <w:lastRenderedPageBreak/>
              <w:t>OE2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8118" w14:textId="77777777" w:rsidR="002742B3" w:rsidRDefault="00000000">
            <w:pPr>
              <w:jc w:val="both"/>
            </w:pPr>
            <w:r>
              <w:rPr>
                <w:color w:val="000000"/>
                <w:sz w:val="18"/>
                <w:szCs w:val="18"/>
              </w:rPr>
              <w:t>Tasa de cobertura de evaluación de riesgos (TCER)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51BB" w14:textId="77777777" w:rsidR="002742B3" w:rsidRDefault="00000000">
            <w:pPr>
              <w:jc w:val="both"/>
            </w:pPr>
            <w:r>
              <w:rPr>
                <w:color w:val="000000"/>
                <w:sz w:val="18"/>
                <w:szCs w:val="18"/>
              </w:rPr>
              <w:t>Ausencia de identificación y valoración de riesgos operacionales por tarea bajo COSO II.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E4EDF" w14:textId="77777777" w:rsidR="002742B3" w:rsidRDefault="00000000">
            <w:pPr>
              <w:jc w:val="both"/>
            </w:pPr>
            <w:r>
              <w:rPr>
                <w:color w:val="000000"/>
                <w:sz w:val="18"/>
                <w:szCs w:val="18"/>
              </w:rPr>
              <w:t>100% de las tareas modeladas con al menos un riesgo identificado y valorado (riesgo inherente y residual) según COSO II.</w:t>
            </w:r>
          </w:p>
        </w:tc>
      </w:tr>
      <w:tr w:rsidR="002742B3" w14:paraId="1A7C6BE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9746" w14:textId="77777777" w:rsidR="002742B3" w:rsidRDefault="00000000">
            <w:pPr>
              <w:jc w:val="both"/>
            </w:pPr>
            <w:r>
              <w:rPr>
                <w:color w:val="000000"/>
                <w:sz w:val="18"/>
                <w:szCs w:val="18"/>
              </w:rPr>
              <w:t>OE3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A3126" w14:textId="77777777" w:rsidR="002742B3" w:rsidRDefault="00000000">
            <w:pPr>
              <w:jc w:val="both"/>
            </w:pPr>
            <w:r>
              <w:rPr>
                <w:color w:val="000000"/>
                <w:sz w:val="18"/>
                <w:szCs w:val="18"/>
              </w:rPr>
              <w:t>Cobertura de riesgos con plan de mitigación (CRPM)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C34AD" w14:textId="77777777" w:rsidR="002742B3" w:rsidRDefault="00000000">
            <w:pPr>
              <w:jc w:val="both"/>
            </w:pPr>
            <w:r>
              <w:rPr>
                <w:color w:val="000000"/>
                <w:sz w:val="18"/>
                <w:szCs w:val="18"/>
              </w:rPr>
              <w:t>Ausencia de un sistema de gestión de riesgos y de planes de mitigación para MP8 y MP21 bajo COSO II.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DC1B0" w14:textId="77777777" w:rsidR="002742B3" w:rsidRDefault="00000000">
            <w:pPr>
              <w:jc w:val="both"/>
            </w:pPr>
            <w:r>
              <w:rPr>
                <w:color w:val="000000"/>
                <w:sz w:val="18"/>
                <w:szCs w:val="18"/>
              </w:rPr>
              <w:t>100% de los riesgos evaluados integrados al sistema de gestión de riesgos con un plan de mitigación documentado según COSO II.</w:t>
            </w:r>
          </w:p>
        </w:tc>
      </w:tr>
    </w:tbl>
    <w:p w14:paraId="32447D7F" w14:textId="324CAD1A" w:rsidR="00DF1E73" w:rsidRDefault="00DF1E73"/>
    <w:p w14:paraId="088F3F4A" w14:textId="77777777" w:rsidR="00DF1E73" w:rsidRDefault="00000000">
      <w:pPr>
        <w:pStyle w:val="Ttulo1"/>
      </w:pPr>
      <w:bookmarkStart w:id="14" w:name="_Toc234068774"/>
      <w:r>
        <w:t>V. PLAN DE TRABAJO</w:t>
      </w:r>
      <w:bookmarkEnd w:id="14"/>
    </w:p>
    <w:p w14:paraId="784E7637" w14:textId="3B642A08" w:rsidR="00DF1E73" w:rsidRDefault="00000000" w:rsidP="0009292C">
      <w:pPr>
        <w:spacing w:before="100" w:after="100" w:line="276" w:lineRule="auto"/>
        <w:jc w:val="both"/>
      </w:pPr>
      <w:r>
        <w:t>Las actividades se organizan por objetivo específico, incluyendo actividades generales transversales al desarrollo completo del AFE. Cada actividad se identifica con un código alfanumérico (A1.x para OE1, A2.x para OE2, A3.x para OE3, A-G para actividades generales).</w:t>
      </w:r>
    </w:p>
    <w:p w14:paraId="69F1F1BC" w14:textId="77777777" w:rsidR="00B50962" w:rsidRDefault="00000000" w:rsidP="00B50962">
      <w:pPr>
        <w:spacing w:before="200" w:after="100"/>
        <w:rPr>
          <w:b/>
          <w:bCs/>
          <w:sz w:val="22"/>
          <w:szCs w:val="22"/>
        </w:rPr>
      </w:pPr>
      <w:r w:rsidRPr="00002B21">
        <w:rPr>
          <w:b/>
          <w:bCs/>
          <w:sz w:val="22"/>
          <w:szCs w:val="22"/>
        </w:rPr>
        <w:t>Para dar cumplimiento al Objetivo Específico 1 (OE1), se consideran las siguientes actividades:</w:t>
      </w:r>
    </w:p>
    <w:p w14:paraId="06BABD2F" w14:textId="19659AD7" w:rsidR="00DF1E73" w:rsidRDefault="00000000" w:rsidP="00B50962">
      <w:pPr>
        <w:spacing w:before="200" w:after="100"/>
      </w:pPr>
      <w:r>
        <w:t>A1.1. Revisión documental y diagnóstico preliminar de MP8 y MP21. Recopilación y análisis de la documentación existente en Arauco (organigramas, descripciones de cargos, procedimientos y registros de proceso) y diagnóstico del grado de formalización actual. Duración estimada: 2 semanas.</w:t>
      </w:r>
    </w:p>
    <w:p w14:paraId="44F87AE2" w14:textId="77777777" w:rsidR="00DF1E73" w:rsidRDefault="00000000" w:rsidP="00DF6212">
      <w:pPr>
        <w:pStyle w:val="Prrafodelista"/>
        <w:spacing w:before="60" w:after="120" w:line="276" w:lineRule="auto"/>
        <w:ind w:left="706"/>
        <w:jc w:val="both"/>
      </w:pPr>
      <w:r>
        <w:t>A1.2. Entrevistas con los dueños de proceso a nivel de negocio. Diseño de pauta, agendamiento y ejecución de entrevistas y sesiones de trabajo con los responsables corporativos de MP8 y MP21. Duración estimada: 3 semanas.</w:t>
      </w:r>
    </w:p>
    <w:p w14:paraId="0B8EFC88" w14:textId="77777777" w:rsidR="00DF1E73" w:rsidRDefault="00000000" w:rsidP="00DF6212">
      <w:pPr>
        <w:pStyle w:val="Prrafodelista"/>
        <w:spacing w:before="60" w:after="120" w:line="276" w:lineRule="auto"/>
        <w:ind w:left="706"/>
        <w:jc w:val="both"/>
      </w:pPr>
      <w:r>
        <w:t>A1.3. Modelamiento de la arquitectura de procesos de MP8 (niveles 1 a 5). Modelamiento de la totalidad de procesos, subprocesos, actividades y tareas de MP8, empleando el APQC PCF v8.0 como referencia de clasificación de apoyo. Duración estimada: 3 semanas.</w:t>
      </w:r>
    </w:p>
    <w:p w14:paraId="077AAB60" w14:textId="77777777" w:rsidR="00DF1E73" w:rsidRDefault="00000000" w:rsidP="00DF6212">
      <w:pPr>
        <w:pStyle w:val="Prrafodelista"/>
        <w:spacing w:before="60" w:after="120" w:line="276" w:lineRule="auto"/>
        <w:ind w:left="706"/>
        <w:jc w:val="both"/>
      </w:pPr>
      <w:r>
        <w:t>A1.4. Modelamiento de la arquitectura de procesos de MP21 (niveles 1 a 5). Equivalente a A1.3 para el macroproceso MP21. Duración estimada: 3 semanas.</w:t>
      </w:r>
    </w:p>
    <w:p w14:paraId="080D3DAC" w14:textId="77777777" w:rsidR="002742B3" w:rsidRDefault="00000000" w:rsidP="00DF6212">
      <w:pPr>
        <w:pStyle w:val="Prrafodelista"/>
        <w:spacing w:before="60" w:after="120" w:line="276" w:lineRule="auto"/>
        <w:ind w:left="706"/>
        <w:jc w:val="both"/>
      </w:pPr>
      <w:r>
        <w:t>A1.5. Consolidación</w:t>
      </w:r>
      <w:r w:rsidR="00C95AF4" w:rsidRPr="00DF6212">
        <w:t xml:space="preserve"> </w:t>
      </w:r>
      <w:r>
        <w:t>de los manuales de procesos MP8 y MP21. Consolidación de la arquitectura modelada en dos manuales de procesos bajo el formato del MGO, incluyendo diagramas de flujo y matrices RACI. Condición de cumplimiento: manuales validados con los dueños de proceso. Duración estimada: 2 semanas.</w:t>
      </w:r>
    </w:p>
    <w:p w14:paraId="4944CC67" w14:textId="7BA2CAA6" w:rsidR="00DF1E73" w:rsidRDefault="005A3F0A" w:rsidP="00DF6212">
      <w:pPr>
        <w:pStyle w:val="Prrafodelista"/>
        <w:spacing w:before="60" w:after="120" w:line="276" w:lineRule="auto"/>
        <w:ind w:left="706"/>
        <w:jc w:val="both"/>
      </w:pPr>
      <w:r>
        <w:t>A1.6. Entrega y validación de los manuales de procesos MP8 y MP21. Presentación formal de los dos manuales de procesos a los dueños de proceso a nivel de negocio para su revisión y validación. Condición de cumplimiento: acta de validación de ambos manuales. Duración estimada: 1 semana.</w:t>
      </w:r>
    </w:p>
    <w:p w14:paraId="72023E0E" w14:textId="77777777" w:rsidR="00B50962" w:rsidRDefault="00000000" w:rsidP="00B50962">
      <w:pPr>
        <w:spacing w:before="200" w:after="100"/>
        <w:rPr>
          <w:b/>
          <w:bCs/>
          <w:sz w:val="22"/>
          <w:szCs w:val="22"/>
        </w:rPr>
      </w:pPr>
      <w:r>
        <w:rPr>
          <w:b/>
          <w:bCs/>
          <w:sz w:val="22"/>
          <w:szCs w:val="22"/>
        </w:rPr>
        <w:t>Para dar cumplimiento al Objetivo Específico 2 (OE2), se consideran las siguientes actividades:</w:t>
      </w:r>
    </w:p>
    <w:p w14:paraId="2B917522" w14:textId="307ACC74" w:rsidR="00DF1E73" w:rsidRDefault="00000000" w:rsidP="00DF6212">
      <w:pPr>
        <w:pStyle w:val="Prrafodelista"/>
        <w:spacing w:before="60" w:after="120" w:line="276" w:lineRule="auto"/>
        <w:ind w:left="706"/>
        <w:jc w:val="both"/>
      </w:pPr>
      <w:r>
        <w:t>A2.1. Identificación de eventos de riesgo por tarea (COSO II). Talleres de análisis de riesgo con los dueños de proceso para identificar los eventos de riesgo asociados a cada tarea modelada de MP8 y MP21. Duración estimada: 3 semanas.</w:t>
      </w:r>
    </w:p>
    <w:p w14:paraId="064773F2" w14:textId="77777777" w:rsidR="00DF1E73" w:rsidRDefault="00000000" w:rsidP="00DF6212">
      <w:pPr>
        <w:pStyle w:val="Prrafodelista"/>
        <w:spacing w:before="60" w:after="120" w:line="276" w:lineRule="auto"/>
        <w:ind w:left="706"/>
        <w:jc w:val="both"/>
      </w:pPr>
      <w:r>
        <w:t xml:space="preserve">A2.2. Valoración de los riesgos (riesgo inherente, controles y riesgo residual). Valoración de la probabilidad e impacto de cada riesgo, determinación del riesgo inherente, </w:t>
      </w:r>
      <w:r>
        <w:lastRenderedPageBreak/>
        <w:t>identificación de controles existentes y estimación del riesgo residual. Duración estimada: 3 semanas.</w:t>
      </w:r>
    </w:p>
    <w:p w14:paraId="7E37AF2D" w14:textId="77777777" w:rsidR="00DF1E73" w:rsidRDefault="00000000" w:rsidP="00DF6212">
      <w:pPr>
        <w:pStyle w:val="Prrafodelista"/>
        <w:spacing w:before="60" w:after="120" w:line="276" w:lineRule="auto"/>
        <w:ind w:left="706"/>
        <w:jc w:val="both"/>
      </w:pPr>
      <w:r>
        <w:t>A2.3. Consolidación de la matriz de riesgos. Sistematización de los riesgos identificados y valorados en una matriz estructurada por macroproceso, proceso, subproceso, actividad y tarea. Condición de cumplimiento: matriz validada con el Profesor Guía. Duración estimada: 2 semanas.</w:t>
      </w:r>
    </w:p>
    <w:p w14:paraId="25EEE5A9" w14:textId="420F55F0" w:rsidR="00DF1E73" w:rsidRDefault="005A3F0A" w:rsidP="00DF6212">
      <w:pPr>
        <w:pStyle w:val="Prrafodelista"/>
        <w:spacing w:before="60" w:after="120" w:line="276" w:lineRule="auto"/>
        <w:ind w:left="706"/>
        <w:jc w:val="both"/>
      </w:pPr>
      <w:r>
        <w:t>A2.4. Entrega de la matriz de riesgos evaluados. Presentación de la matriz de riesgos de MP8 y MP21, con el riesgo inherente, los controles y el riesgo residual, a los dueños de proceso y al Profesor Guía para su validación. Condición de cumplimiento: matriz de riesgos validada. Duración estimada: 1 semana.</w:t>
      </w:r>
    </w:p>
    <w:p w14:paraId="762581A6" w14:textId="77777777" w:rsidR="00B50962" w:rsidRDefault="00000000" w:rsidP="00B50962">
      <w:pPr>
        <w:spacing w:before="200" w:after="100"/>
        <w:rPr>
          <w:b/>
          <w:bCs/>
          <w:sz w:val="22"/>
          <w:szCs w:val="22"/>
        </w:rPr>
      </w:pPr>
      <w:r>
        <w:rPr>
          <w:b/>
          <w:bCs/>
          <w:sz w:val="22"/>
          <w:szCs w:val="22"/>
        </w:rPr>
        <w:t>Para dar cumplimiento al Objetivo Específico 3 (OE3), se consideran las siguientes actividades:</w:t>
      </w:r>
    </w:p>
    <w:p w14:paraId="24AC9C53" w14:textId="182C4A27" w:rsidR="00DF1E73" w:rsidRDefault="00000000" w:rsidP="00DF6212">
      <w:pPr>
        <w:pStyle w:val="Prrafodelista"/>
        <w:spacing w:before="60" w:after="120" w:line="276" w:lineRule="auto"/>
        <w:ind w:left="706"/>
        <w:jc w:val="both"/>
      </w:pPr>
      <w:r>
        <w:t>A3.1. Diseño de los planes de mitigación (respuesta al riesgo). Definición de los planes de mitigación para los riesgos evaluados, a partir de su riesgo residual, según COSO II. Duración estimada: 3 semanas.</w:t>
      </w:r>
    </w:p>
    <w:p w14:paraId="0CF5E9C8" w14:textId="77777777" w:rsidR="00DF1E73" w:rsidRDefault="00000000" w:rsidP="00DF6212">
      <w:pPr>
        <w:pStyle w:val="Prrafodelista"/>
        <w:spacing w:before="60" w:after="120" w:line="276" w:lineRule="auto"/>
        <w:ind w:left="706"/>
        <w:jc w:val="both"/>
      </w:pPr>
      <w:r>
        <w:t>A3.2. Diseño de la capa de gobernanza del sistema. Definición de roles y responsabilidades, taxonomía de riesgos, indicadores de riesgo (KRI) y esquema de monitoreo y reporte del sistema de gestión de riesgos. Duración estimada: 3 semanas.</w:t>
      </w:r>
    </w:p>
    <w:p w14:paraId="51165806" w14:textId="77777777" w:rsidR="00DF1E73" w:rsidRDefault="00000000" w:rsidP="00DF6212">
      <w:pPr>
        <w:pStyle w:val="Prrafodelista"/>
        <w:spacing w:before="60" w:after="120" w:line="276" w:lineRule="auto"/>
        <w:ind w:left="706"/>
        <w:jc w:val="both"/>
      </w:pPr>
      <w:r>
        <w:t>A3.3. Integración y validación del sistema de gestión de riesgos. Integración del catálogo de riesgos, los planes de mitigación y la capa de gobernanza en el sistema, y su validación formal con los dueños de proceso a nivel de negocio. Condición de cumplimiento: sistema validado. Duración estimada: 2 semanas.</w:t>
      </w:r>
    </w:p>
    <w:p w14:paraId="613BCB20" w14:textId="77777777" w:rsidR="00DF1E73" w:rsidRDefault="005A3F0A" w:rsidP="00DF6212">
      <w:pPr>
        <w:pStyle w:val="Prrafodelista"/>
        <w:spacing w:before="60" w:after="120" w:line="276" w:lineRule="auto"/>
        <w:ind w:left="706"/>
        <w:jc w:val="both"/>
      </w:pPr>
      <w:r>
        <w:t>A3.4. Entrega del sistema de gestión de riesgos a la alta gerencia. Presentación del sistema de gestión de riesgos COSO II para MP8 y MP21 a la alta gerencia del Negocio de Celulosa de Arauco. Condición de cumplimiento: acta de entrega y recepción conforme. Duración estimada: 1 semana.</w:t>
      </w:r>
    </w:p>
    <w:p w14:paraId="4DEC6882" w14:textId="77777777" w:rsidR="00DF1E73" w:rsidRDefault="00000000">
      <w:pPr>
        <w:spacing w:before="200" w:after="100"/>
      </w:pPr>
      <w:r>
        <w:rPr>
          <w:b/>
          <w:bCs/>
          <w:sz w:val="22"/>
          <w:szCs w:val="22"/>
        </w:rPr>
        <w:t>Actividades generales:</w:t>
      </w:r>
    </w:p>
    <w:p w14:paraId="017233EC" w14:textId="77777777" w:rsidR="00DF1E73" w:rsidRDefault="00000000" w:rsidP="00DF6212">
      <w:pPr>
        <w:pStyle w:val="Prrafodelista"/>
        <w:spacing w:before="60" w:after="120" w:line="276" w:lineRule="auto"/>
        <w:ind w:left="706"/>
        <w:jc w:val="both"/>
      </w:pPr>
      <w:r>
        <w:t>A-G. Documentación y redacción del AFE. Actividad transversal a todo el período de ejecución, orientada a la redacción progresiva del informe final del AFE. Duración: todo el período.</w:t>
      </w:r>
    </w:p>
    <w:p w14:paraId="153E9F68" w14:textId="77777777" w:rsidR="00DF1E73" w:rsidRDefault="00000000" w:rsidP="00DF6212">
      <w:pPr>
        <w:pStyle w:val="Prrafodelista"/>
        <w:spacing w:before="60" w:after="120" w:line="276" w:lineRule="auto"/>
        <w:ind w:left="706"/>
        <w:jc w:val="both"/>
      </w:pPr>
      <w:r>
        <w:t>A-P1. Presentación de avance AFE (1er hito). Presentación de resultados de OE1 y avance de OE2 ante el Comité Evaluador. Semana 10.</w:t>
      </w:r>
    </w:p>
    <w:p w14:paraId="1E7614E1" w14:textId="77777777" w:rsidR="00DF1E73" w:rsidRDefault="00000000" w:rsidP="00DF6212">
      <w:pPr>
        <w:pStyle w:val="Prrafodelista"/>
        <w:spacing w:before="60" w:after="120" w:line="276" w:lineRule="auto"/>
        <w:ind w:left="706"/>
        <w:jc w:val="both"/>
      </w:pPr>
      <w:r>
        <w:t>A-P2. Presentación de avance AFE (2do hito). Presentación de resultados de OE2 y avance de OE3 ante el Comité Evaluador. Semana 16.</w:t>
      </w:r>
    </w:p>
    <w:p w14:paraId="6229B444" w14:textId="13C685FF" w:rsidR="00DF1E73" w:rsidRDefault="00000000" w:rsidP="00DF6212">
      <w:pPr>
        <w:pStyle w:val="Prrafodelista"/>
        <w:spacing w:before="60" w:after="120" w:line="276" w:lineRule="auto"/>
        <w:ind w:left="706"/>
        <w:jc w:val="both"/>
      </w:pPr>
      <w:r>
        <w:t>A-PF. Presentación final del AFE. Defensa del trabajo completo ante la Comisión Evaluadora. Semana 20.</w:t>
      </w:r>
    </w:p>
    <w:p w14:paraId="74F58E6C" w14:textId="77777777" w:rsidR="00DF1E73" w:rsidRDefault="00000000">
      <w:pPr>
        <w:pStyle w:val="Ttulo2"/>
      </w:pPr>
      <w:bookmarkStart w:id="15" w:name="_Toc234068775"/>
      <w:r>
        <w:t>V.1 Carta Gantt</w:t>
      </w:r>
      <w:bookmarkEnd w:id="15"/>
    </w:p>
    <w:p w14:paraId="0B65B52E" w14:textId="77777777" w:rsidR="00DF1E73" w:rsidRDefault="00000000">
      <w:pPr>
        <w:spacing w:before="100" w:after="100" w:line="276" w:lineRule="auto"/>
        <w:jc w:val="both"/>
      </w:pPr>
      <w:r>
        <w:t>La siguiente Carta Gantt representa la secuencia y paralelismo de las actividades descritas, distribuidas en un horizonte de 20 semanas a partir de la aprobación del anteproyecto. Las semanas S1 a S20 corresponden aproximadamente al período agosto 2026 a enero 2027.</w:t>
      </w:r>
    </w:p>
    <w:p w14:paraId="57E4676C" w14:textId="77777777" w:rsidR="00DF1E73" w:rsidRDefault="00DF1E73"/>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gridCol w:w="330"/>
      </w:tblGrid>
      <w:tr w:rsidR="00C754AC" w14:paraId="46F94723" w14:textId="77777777" w:rsidTr="00A72C4C">
        <w:trPr>
          <w:tblHeader/>
          <w:jc w:val="center"/>
        </w:trPr>
        <w:tc>
          <w:tcPr>
            <w:tcW w:w="12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80" w:type="dxa"/>
              <w:bottom w:w="40" w:type="dxa"/>
              <w:right w:w="80" w:type="dxa"/>
            </w:tcMar>
            <w:vAlign w:val="center"/>
          </w:tcPr>
          <w:p w14:paraId="70607F89" w14:textId="77777777" w:rsidR="00C754AC" w:rsidRDefault="00000000">
            <w:r>
              <w:rPr>
                <w:b/>
                <w:bCs/>
                <w:color w:val="000000"/>
                <w:sz w:val="14"/>
                <w:szCs w:val="14"/>
              </w:rPr>
              <w:t>Actividad</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1099ACA" w14:textId="77777777" w:rsidR="00C754AC" w:rsidRDefault="00000000">
            <w:pPr>
              <w:jc w:val="center"/>
            </w:pPr>
            <w:r>
              <w:rPr>
                <w:b/>
                <w:bCs/>
                <w:color w:val="000000"/>
                <w:sz w:val="12"/>
                <w:szCs w:val="12"/>
              </w:rPr>
              <w:t>S1</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28840024" w14:textId="77777777" w:rsidR="00C754AC" w:rsidRDefault="00000000">
            <w:pPr>
              <w:jc w:val="center"/>
            </w:pPr>
            <w:r>
              <w:rPr>
                <w:b/>
                <w:bCs/>
                <w:color w:val="000000"/>
                <w:sz w:val="12"/>
                <w:szCs w:val="12"/>
              </w:rPr>
              <w:t>S2</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B0626DD" w14:textId="77777777" w:rsidR="00C754AC" w:rsidRDefault="00000000">
            <w:pPr>
              <w:jc w:val="center"/>
            </w:pPr>
            <w:r>
              <w:rPr>
                <w:b/>
                <w:bCs/>
                <w:color w:val="000000"/>
                <w:sz w:val="12"/>
                <w:szCs w:val="12"/>
              </w:rPr>
              <w:t>S3</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60DD88E" w14:textId="77777777" w:rsidR="00C754AC" w:rsidRDefault="00000000">
            <w:pPr>
              <w:jc w:val="center"/>
            </w:pPr>
            <w:r>
              <w:rPr>
                <w:b/>
                <w:bCs/>
                <w:color w:val="000000"/>
                <w:sz w:val="12"/>
                <w:szCs w:val="12"/>
              </w:rPr>
              <w:t>S4</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3C39AB8F" w14:textId="77777777" w:rsidR="00C754AC" w:rsidRDefault="00000000">
            <w:pPr>
              <w:jc w:val="center"/>
            </w:pPr>
            <w:r>
              <w:rPr>
                <w:b/>
                <w:bCs/>
                <w:color w:val="000000"/>
                <w:sz w:val="12"/>
                <w:szCs w:val="12"/>
              </w:rPr>
              <w:t>S5</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0B775CFA" w14:textId="77777777" w:rsidR="00C754AC" w:rsidRDefault="00000000">
            <w:pPr>
              <w:jc w:val="center"/>
            </w:pPr>
            <w:r>
              <w:rPr>
                <w:b/>
                <w:bCs/>
                <w:color w:val="000000"/>
                <w:sz w:val="12"/>
                <w:szCs w:val="12"/>
              </w:rPr>
              <w:t>S6</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D3695FE" w14:textId="77777777" w:rsidR="00C754AC" w:rsidRDefault="00000000">
            <w:pPr>
              <w:jc w:val="center"/>
            </w:pPr>
            <w:r>
              <w:rPr>
                <w:b/>
                <w:bCs/>
                <w:color w:val="000000"/>
                <w:sz w:val="12"/>
                <w:szCs w:val="12"/>
              </w:rPr>
              <w:t>S7</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322533CD" w14:textId="77777777" w:rsidR="00C754AC" w:rsidRDefault="00000000">
            <w:pPr>
              <w:jc w:val="center"/>
            </w:pPr>
            <w:r>
              <w:rPr>
                <w:b/>
                <w:bCs/>
                <w:color w:val="000000"/>
                <w:sz w:val="12"/>
                <w:szCs w:val="12"/>
              </w:rPr>
              <w:t>S8</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84102FB" w14:textId="77777777" w:rsidR="00C754AC" w:rsidRDefault="00000000">
            <w:pPr>
              <w:jc w:val="center"/>
            </w:pPr>
            <w:r>
              <w:rPr>
                <w:b/>
                <w:bCs/>
                <w:color w:val="000000"/>
                <w:sz w:val="12"/>
                <w:szCs w:val="12"/>
              </w:rPr>
              <w:t>S9</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511C4A46" w14:textId="77777777" w:rsidR="00C754AC" w:rsidRDefault="00000000">
            <w:pPr>
              <w:jc w:val="center"/>
            </w:pPr>
            <w:r>
              <w:rPr>
                <w:b/>
                <w:bCs/>
                <w:color w:val="000000"/>
                <w:sz w:val="12"/>
                <w:szCs w:val="12"/>
              </w:rPr>
              <w:t>S10</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55A3945" w14:textId="77777777" w:rsidR="00C754AC" w:rsidRDefault="00000000">
            <w:pPr>
              <w:jc w:val="center"/>
            </w:pPr>
            <w:r>
              <w:rPr>
                <w:b/>
                <w:bCs/>
                <w:color w:val="000000"/>
                <w:sz w:val="12"/>
                <w:szCs w:val="12"/>
              </w:rPr>
              <w:t>S11</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3153DDBD" w14:textId="77777777" w:rsidR="00C754AC" w:rsidRDefault="00000000">
            <w:pPr>
              <w:jc w:val="center"/>
            </w:pPr>
            <w:r>
              <w:rPr>
                <w:b/>
                <w:bCs/>
                <w:color w:val="000000"/>
                <w:sz w:val="12"/>
                <w:szCs w:val="12"/>
              </w:rPr>
              <w:t>S12</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96E750C" w14:textId="77777777" w:rsidR="00C754AC" w:rsidRDefault="00000000">
            <w:pPr>
              <w:jc w:val="center"/>
            </w:pPr>
            <w:r>
              <w:rPr>
                <w:b/>
                <w:bCs/>
                <w:color w:val="000000"/>
                <w:sz w:val="12"/>
                <w:szCs w:val="12"/>
              </w:rPr>
              <w:t>S13</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1D8D41F3" w14:textId="77777777" w:rsidR="00C754AC" w:rsidRDefault="00000000">
            <w:pPr>
              <w:jc w:val="center"/>
            </w:pPr>
            <w:r>
              <w:rPr>
                <w:b/>
                <w:bCs/>
                <w:color w:val="000000"/>
                <w:sz w:val="12"/>
                <w:szCs w:val="12"/>
              </w:rPr>
              <w:t>S14</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F27D307" w14:textId="77777777" w:rsidR="00C754AC" w:rsidRDefault="00000000">
            <w:pPr>
              <w:jc w:val="center"/>
            </w:pPr>
            <w:r>
              <w:rPr>
                <w:b/>
                <w:bCs/>
                <w:color w:val="000000"/>
                <w:sz w:val="12"/>
                <w:szCs w:val="12"/>
              </w:rPr>
              <w:t>S15</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45D7A5E2" w14:textId="77777777" w:rsidR="00C754AC" w:rsidRDefault="00000000">
            <w:pPr>
              <w:jc w:val="center"/>
            </w:pPr>
            <w:r>
              <w:rPr>
                <w:b/>
                <w:bCs/>
                <w:color w:val="000000"/>
                <w:sz w:val="12"/>
                <w:szCs w:val="12"/>
              </w:rPr>
              <w:t>S16</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D03AFFB" w14:textId="77777777" w:rsidR="00C754AC" w:rsidRDefault="00000000">
            <w:pPr>
              <w:jc w:val="center"/>
            </w:pPr>
            <w:r>
              <w:rPr>
                <w:b/>
                <w:bCs/>
                <w:color w:val="000000"/>
                <w:sz w:val="12"/>
                <w:szCs w:val="12"/>
              </w:rPr>
              <w:t>S17</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11832B12" w14:textId="77777777" w:rsidR="00C754AC" w:rsidRDefault="00000000">
            <w:pPr>
              <w:jc w:val="center"/>
            </w:pPr>
            <w:r>
              <w:rPr>
                <w:b/>
                <w:bCs/>
                <w:color w:val="000000"/>
                <w:sz w:val="12"/>
                <w:szCs w:val="12"/>
              </w:rPr>
              <w:t>S18</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701800D1" w14:textId="77777777" w:rsidR="00C754AC" w:rsidRDefault="00000000">
            <w:pPr>
              <w:jc w:val="center"/>
            </w:pPr>
            <w:r>
              <w:rPr>
                <w:b/>
                <w:bCs/>
                <w:color w:val="000000"/>
                <w:sz w:val="12"/>
                <w:szCs w:val="12"/>
              </w:rPr>
              <w:t>S19</w:t>
            </w:r>
          </w:p>
        </w:tc>
        <w:tc>
          <w:tcPr>
            <w:tcW w:w="33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40" w:type="dxa"/>
              <w:left w:w="0" w:type="dxa"/>
              <w:bottom w:w="40" w:type="dxa"/>
              <w:right w:w="0" w:type="dxa"/>
            </w:tcMar>
            <w:vAlign w:val="center"/>
          </w:tcPr>
          <w:p w14:paraId="63E4435E" w14:textId="77777777" w:rsidR="00C754AC" w:rsidRDefault="00000000">
            <w:pPr>
              <w:jc w:val="center"/>
            </w:pPr>
            <w:r>
              <w:rPr>
                <w:b/>
                <w:bCs/>
                <w:color w:val="000000"/>
                <w:sz w:val="12"/>
                <w:szCs w:val="12"/>
              </w:rPr>
              <w:t>S20</w:t>
            </w:r>
          </w:p>
        </w:tc>
      </w:tr>
      <w:tr w:rsidR="00C754AC" w14:paraId="65B13D4C"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2AE952" w14:textId="77777777" w:rsidR="00C754AC" w:rsidRDefault="00000000">
            <w:r>
              <w:rPr>
                <w:color w:val="000000"/>
                <w:sz w:val="14"/>
                <w:szCs w:val="14"/>
              </w:rPr>
              <w:t>A1.1</w:t>
            </w:r>
          </w:p>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D45E64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DA0E6F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C8BCF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06FF0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73074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EA788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81DE94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8B4D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12458C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6EC2A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2D696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730DF1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EA82C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7A863A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2033F6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1A42E8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98EDC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FE66F6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64D0EF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443BA7" w14:textId="77777777" w:rsidR="00C754AC" w:rsidRDefault="00C754AC"/>
        </w:tc>
      </w:tr>
      <w:tr w:rsidR="00C754AC" w14:paraId="4484A00F"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B897F53" w14:textId="77777777" w:rsidR="00C754AC" w:rsidRDefault="00000000">
            <w:r>
              <w:rPr>
                <w:color w:val="000000"/>
                <w:sz w:val="14"/>
                <w:szCs w:val="14"/>
              </w:rPr>
              <w:t>A1.2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E6708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77737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3A7172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C30861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95066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C23ACC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A7544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15A3FA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47D0A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1CE70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3D8704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593BF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5E9EE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403609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09D0B5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3C9194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DC226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214A5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2E0C4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98DDE0" w14:textId="77777777" w:rsidR="00C754AC" w:rsidRDefault="00C754AC"/>
        </w:tc>
      </w:tr>
      <w:tr w:rsidR="00C754AC" w14:paraId="2B2DE5A2"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EFD3671" w14:textId="77777777" w:rsidR="00C754AC" w:rsidRDefault="00000000">
            <w:r>
              <w:rPr>
                <w:color w:val="000000"/>
                <w:sz w:val="14"/>
                <w:szCs w:val="14"/>
              </w:rPr>
              <w:lastRenderedPageBreak/>
              <w:t>A1.3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31E627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B4722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8B425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17CE21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EFA681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7773A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4100B6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6921FA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ED4E3B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31D1F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5066F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98BE0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33AA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2CE2F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0C5C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5455F8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6DE33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FB3229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64260E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B8D6A24" w14:textId="77777777" w:rsidR="00C754AC" w:rsidRDefault="00C754AC"/>
        </w:tc>
      </w:tr>
      <w:tr w:rsidR="00C754AC" w14:paraId="416D5243"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CF49C0" w14:textId="77777777" w:rsidR="00C754AC" w:rsidRDefault="00000000">
            <w:r>
              <w:rPr>
                <w:color w:val="000000"/>
                <w:sz w:val="14"/>
                <w:szCs w:val="14"/>
              </w:rPr>
              <w:t>A1.4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D4D12A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D2857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55E69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57B0A1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C3EDDC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2CF422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429E62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66F360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3790F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658450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5E408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1DEE42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EE33C8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E94EB4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21277B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8712B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E6375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E630A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E4DF3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542071" w14:textId="77777777" w:rsidR="00C754AC" w:rsidRDefault="00C754AC"/>
        </w:tc>
      </w:tr>
      <w:tr w:rsidR="00C754AC" w14:paraId="23D3FB8E"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9F9AB8F" w14:textId="77777777" w:rsidR="00C754AC" w:rsidRDefault="00000000">
            <w:r>
              <w:rPr>
                <w:color w:val="000000"/>
                <w:sz w:val="14"/>
                <w:szCs w:val="14"/>
              </w:rPr>
              <w:t>A1.5</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A3750E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727CA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C9C9B6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F02925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0B4D7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4CA255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A0704D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A52B46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1E0BC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5AC3A7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B4CABE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76B4BF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A4EA34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5DB364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5BD5CC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C9D90E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3CD518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6BE615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0A84B3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359B727" w14:textId="77777777" w:rsidR="00C754AC" w:rsidRDefault="00C754AC"/>
        </w:tc>
      </w:tr>
      <w:tr w:rsidR="00C754AC" w14:paraId="3ABDCCA2"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6664CC2" w14:textId="77777777" w:rsidR="00C754AC" w:rsidRDefault="00000000">
            <w:r>
              <w:rPr>
                <w:color w:val="000000"/>
                <w:sz w:val="14"/>
                <w:szCs w:val="14"/>
              </w:rPr>
              <w:t>A1.6</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9B5D9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62E6C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3D9BC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8E99A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AA877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11AF51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2390A3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1497C7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38546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B09DD7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482CC7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8EBCD9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93A450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B7752C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BB01E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8EC56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38D7E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DBF11E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61DCC9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03E8D41" w14:textId="77777777" w:rsidR="00C754AC" w:rsidRDefault="00C754AC"/>
        </w:tc>
      </w:tr>
      <w:tr w:rsidR="00C754AC" w14:paraId="6A43D3FD"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E602A69" w14:textId="77777777" w:rsidR="00C754AC" w:rsidRDefault="00000000">
            <w:r>
              <w:rPr>
                <w:color w:val="000000"/>
                <w:sz w:val="14"/>
                <w:szCs w:val="14"/>
              </w:rPr>
              <w:t>A2.1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A47C38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24F38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A9F419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AA3CC2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DC5BB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B69FD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1EF5B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C4411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3012B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EDF5CE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9FD2A8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0551E2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72EFA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617F1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755548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F9850E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163927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F5D69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935202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61FBA88" w14:textId="77777777" w:rsidR="00C754AC" w:rsidRDefault="00C754AC"/>
        </w:tc>
      </w:tr>
      <w:tr w:rsidR="00C754AC" w14:paraId="5035CBE0"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7286FEB" w14:textId="77777777" w:rsidR="00C754AC" w:rsidRDefault="00000000">
            <w:r>
              <w:rPr>
                <w:color w:val="000000"/>
                <w:sz w:val="14"/>
                <w:szCs w:val="14"/>
              </w:rPr>
              <w:t>A2.2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55A707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9AA81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D2EEF5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A0C1E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3BD14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D93FB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46EAAB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498411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06E17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03286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30EEE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F49D6F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EC9247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588B56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8A532C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498B7E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1D4160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05EB13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C233B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4618E4" w14:textId="77777777" w:rsidR="00C754AC" w:rsidRDefault="00C754AC"/>
        </w:tc>
      </w:tr>
      <w:tr w:rsidR="00C754AC" w14:paraId="41FAAE22"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ADB438A" w14:textId="77777777" w:rsidR="00C754AC" w:rsidRDefault="00000000">
            <w:r>
              <w:rPr>
                <w:color w:val="000000"/>
                <w:sz w:val="14"/>
                <w:szCs w:val="14"/>
              </w:rPr>
              <w:t>A2.3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8BAE5F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5141C1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F86EB3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5FA415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CA8C46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1826BB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36A56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19170E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A469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573976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E832FB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9C96FD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D4838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6C634D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CE53C4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146170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EF54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95C2E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C61C2E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7EBBE2" w14:textId="77777777" w:rsidR="00C754AC" w:rsidRDefault="00C754AC"/>
        </w:tc>
      </w:tr>
      <w:tr w:rsidR="00C754AC" w14:paraId="36BE6E66"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8F730CF" w14:textId="77777777" w:rsidR="00C754AC" w:rsidRDefault="00000000">
            <w:r>
              <w:rPr>
                <w:color w:val="000000"/>
                <w:sz w:val="14"/>
                <w:szCs w:val="14"/>
              </w:rPr>
              <w:t>A2.4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E1842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BFD9C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1253E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28952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EE349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6516C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28469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289DF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241E74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55245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467CE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B33232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3D7881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E8C07A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D0DBDA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332580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672D7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A48789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947EA0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6EA54A8" w14:textId="77777777" w:rsidR="00C754AC" w:rsidRDefault="00C754AC"/>
        </w:tc>
      </w:tr>
      <w:tr w:rsidR="00C754AC" w14:paraId="1736988B"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29E0FD4" w14:textId="77777777" w:rsidR="00C754AC" w:rsidRDefault="00000000">
            <w:r>
              <w:rPr>
                <w:color w:val="000000"/>
                <w:sz w:val="14"/>
                <w:szCs w:val="14"/>
              </w:rPr>
              <w:t>A3.1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D20A8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8EA1CE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63B78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484F90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518D5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FA7B3E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AE277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2E06E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CBCEF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CFCE0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1F6C1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8157E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816650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E2EA02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DC2AD2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079280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301683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08C1F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0586B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60E8CA7" w14:textId="77777777" w:rsidR="00C754AC" w:rsidRDefault="00C754AC"/>
        </w:tc>
      </w:tr>
      <w:tr w:rsidR="00C754AC" w14:paraId="37824E0E"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486D6FA" w14:textId="77777777" w:rsidR="00C754AC" w:rsidRDefault="00000000">
            <w:r>
              <w:rPr>
                <w:color w:val="000000"/>
                <w:sz w:val="14"/>
                <w:szCs w:val="14"/>
              </w:rPr>
              <w:t>A3.2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3F1FD6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59418C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D88B1B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0167E4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9F6C6C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35870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F8B031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0295D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3B6F6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2DF73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27204A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B291DF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36F2F0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B6CC08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6235E8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5EE263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C3C657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40D78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D47A0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95B1D5C" w14:textId="77777777" w:rsidR="00C754AC" w:rsidRDefault="00C754AC"/>
        </w:tc>
      </w:tr>
      <w:tr w:rsidR="00C754AC" w14:paraId="7CC5D1AE"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F93DB0" w14:textId="77777777" w:rsidR="00C754AC" w:rsidRDefault="00000000">
            <w:r>
              <w:rPr>
                <w:color w:val="000000"/>
                <w:sz w:val="14"/>
                <w:szCs w:val="14"/>
              </w:rPr>
              <w:t>A3.3</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C0512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CF6BC5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0A4D1D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E1201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DD508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C67002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67E432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4E2ADE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73600A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DC41E6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CF022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92569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103F6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5C87B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2CF4D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5E2AEC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58AB9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68BC884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3C4779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32BA781" w14:textId="77777777" w:rsidR="00C754AC" w:rsidRDefault="00C754AC"/>
        </w:tc>
      </w:tr>
      <w:tr w:rsidR="00C754AC" w14:paraId="644688C3"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C0A0DE6" w14:textId="77777777" w:rsidR="00C754AC" w:rsidRDefault="00000000">
            <w:r>
              <w:rPr>
                <w:color w:val="000000"/>
                <w:sz w:val="14"/>
                <w:szCs w:val="14"/>
              </w:rPr>
              <w:t>A3.4</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8C41CF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698764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1FEDC0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94D09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B8011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B32914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DFD426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E9B7A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C3623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0875E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39FA6C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ECE49A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AEB92C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A6BE9A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EEF55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4716B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C3F844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C3A10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B04F9E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8F32E5D" w14:textId="77777777" w:rsidR="00C754AC" w:rsidRDefault="00C754AC"/>
        </w:tc>
      </w:tr>
      <w:tr w:rsidR="00C754AC" w14:paraId="08DF858F"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0F99F06" w14:textId="77777777" w:rsidR="00C754AC" w:rsidRDefault="00000000">
            <w:r>
              <w:rPr>
                <w:color w:val="000000"/>
                <w:sz w:val="14"/>
                <w:szCs w:val="14"/>
              </w:rPr>
              <w:t>A-G</w:t>
            </w:r>
          </w:p>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356582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280F27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7E28ED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98EBA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3A38FF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4D6F53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589E37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15E85E0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E6C919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61AB75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79F8116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CC1121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5E086B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19D5D2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D0B2A8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206B984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ABE5CD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3FDB8D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47A9FF0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5FA99C56" w14:textId="77777777" w:rsidR="00C754AC" w:rsidRDefault="00C754AC"/>
        </w:tc>
      </w:tr>
      <w:tr w:rsidR="00C754AC" w14:paraId="50D7DC27"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2136B29" w14:textId="77777777" w:rsidR="00C754AC" w:rsidRDefault="00000000">
            <w:r>
              <w:rPr>
                <w:color w:val="000000"/>
                <w:sz w:val="14"/>
                <w:szCs w:val="14"/>
              </w:rPr>
              <w:t>A-P1</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E02BDD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38BE1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DE0531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1DF723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42C926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CFA242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49F41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725DCD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96E13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314A565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DF284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B18785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CC9D6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8C0754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60095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1536C0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643A7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2291C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13EACB9"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C75089B" w14:textId="77777777" w:rsidR="00C754AC" w:rsidRDefault="00C754AC"/>
        </w:tc>
      </w:tr>
      <w:tr w:rsidR="00C754AC" w14:paraId="0DCD90A5"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425A6B4" w14:textId="77777777" w:rsidR="00C754AC" w:rsidRDefault="00000000">
            <w:r>
              <w:rPr>
                <w:color w:val="000000"/>
                <w:sz w:val="14"/>
                <w:szCs w:val="14"/>
              </w:rPr>
              <w:t>A-P2</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378F566"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6B11C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095392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7BEB323"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9EB060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852285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2E31CA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DCEF43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77C52C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81545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78E887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2153F4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42953A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07BAEE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3F176F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16E7BB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68BE1A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F5B685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BDC71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B8A9045" w14:textId="77777777" w:rsidR="00C754AC" w:rsidRDefault="00C754AC"/>
        </w:tc>
      </w:tr>
      <w:tr w:rsidR="00C754AC" w14:paraId="6E55A422" w14:textId="77777777">
        <w:trPr>
          <w:jc w:val="center"/>
        </w:trPr>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232BADF" w14:textId="77777777" w:rsidR="00C754AC" w:rsidRDefault="00000000">
            <w:r>
              <w:rPr>
                <w:color w:val="000000"/>
                <w:sz w:val="14"/>
                <w:szCs w:val="14"/>
              </w:rPr>
              <w:t>A-PF</w:t>
            </w:r>
          </w:p>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F37C7F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9FE349A"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834DFCB"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7F7A658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595023F"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083F27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30F8C4CD"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2A2A797"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50431C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4CF5BA84"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A01280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96978B8"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0E49256E"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272DA6BC"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1D622F8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AC4F3A0"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50C32ED2"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AE80521"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FFFFFF"/>
            <w:tcMar>
              <w:top w:w="40" w:type="dxa"/>
              <w:left w:w="0" w:type="dxa"/>
              <w:bottom w:w="40" w:type="dxa"/>
              <w:right w:w="0" w:type="dxa"/>
            </w:tcMar>
          </w:tcPr>
          <w:p w14:paraId="6219B0D5" w14:textId="77777777" w:rsidR="00C754AC" w:rsidRDefault="00C754AC"/>
        </w:tc>
        <w:tc>
          <w:tcPr>
            <w:tcW w:w="330" w:type="dxa"/>
            <w:tcBorders>
              <w:top w:val="single" w:sz="1" w:space="0" w:color="CCCCCC"/>
              <w:left w:val="single" w:sz="1" w:space="0" w:color="CCCCCC"/>
              <w:bottom w:val="single" w:sz="1" w:space="0" w:color="CCCCCC"/>
              <w:right w:val="single" w:sz="1" w:space="0" w:color="CCCCCC"/>
            </w:tcBorders>
            <w:shd w:val="clear" w:color="auto" w:fill="595959"/>
            <w:tcMar>
              <w:top w:w="40" w:type="dxa"/>
              <w:left w:w="0" w:type="dxa"/>
              <w:bottom w:w="40" w:type="dxa"/>
              <w:right w:w="0" w:type="dxa"/>
            </w:tcMar>
          </w:tcPr>
          <w:p w14:paraId="0EA1C029" w14:textId="77777777" w:rsidR="00C754AC" w:rsidRDefault="00C754AC"/>
        </w:tc>
      </w:tr>
    </w:tbl>
    <w:p w14:paraId="668691E1" w14:textId="050B5656" w:rsidR="00DF1E73" w:rsidRDefault="00DF1E73"/>
    <w:p w14:paraId="5397435F" w14:textId="77777777" w:rsidR="00DF1E73" w:rsidRDefault="00000000">
      <w:pPr>
        <w:pStyle w:val="Ttulo1"/>
      </w:pPr>
      <w:bookmarkStart w:id="16" w:name="_Toc234068776"/>
      <w:r>
        <w:t>VI. INFRAESTRUCTURA DISPONIBLE</w:t>
      </w:r>
      <w:bookmarkEnd w:id="16"/>
    </w:p>
    <w:p w14:paraId="46CE6C14" w14:textId="17EBA216" w:rsidR="00DF1E73" w:rsidRDefault="00000000" w:rsidP="00B50962">
      <w:pPr>
        <w:spacing w:before="100" w:after="100" w:line="276" w:lineRule="auto"/>
        <w:jc w:val="both"/>
      </w:pPr>
      <w:r>
        <w:t>Los medios y recursos con que se cuenta para dar cumplimiento a este trabajo son los siguientes:</w:t>
      </w:r>
    </w:p>
    <w:p w14:paraId="7815218A" w14:textId="77777777" w:rsidR="00DF1E73" w:rsidRDefault="00000000">
      <w:pPr>
        <w:pStyle w:val="Prrafodelista"/>
        <w:numPr>
          <w:ilvl w:val="0"/>
          <w:numId w:val="2"/>
        </w:numPr>
        <w:spacing w:before="60" w:after="60" w:line="276" w:lineRule="auto"/>
        <w:jc w:val="both"/>
      </w:pPr>
      <w:r>
        <w:t>En la actividad A1.1 (Revisión documental) se accederá a los archivos internos y sistemas de gestión documental de Arauco. El acceso a estos recursos está garantizado por la condición del investigador como ingeniero de Gestión de Procesos en la compañía.</w:t>
      </w:r>
    </w:p>
    <w:p w14:paraId="5DB4A903" w14:textId="77777777" w:rsidR="00DF1E73" w:rsidRDefault="00000000">
      <w:pPr>
        <w:pStyle w:val="Prrafodelista"/>
        <w:numPr>
          <w:ilvl w:val="0"/>
          <w:numId w:val="2"/>
        </w:numPr>
        <w:spacing w:before="60" w:after="60" w:line="276" w:lineRule="auto"/>
        <w:jc w:val="both"/>
      </w:pPr>
      <w:r>
        <w:t>En las actividades de entrevistas y talleres (A1.2, A2.1, A2.2, A3.1 y A3.3) se contará con la disponibilidad de los dueños de proceso de MP8 y MP21 a nivel de negocio, quienes han manifestado formalmente su disposición a participar en el desarrollo de esta AFE. Se adjunta carta de compromiso de Arauco al presente anteproyecto.</w:t>
      </w:r>
    </w:p>
    <w:p w14:paraId="76C4B7EC" w14:textId="77777777" w:rsidR="00DF1E73" w:rsidRDefault="00000000">
      <w:pPr>
        <w:pStyle w:val="Prrafodelista"/>
        <w:numPr>
          <w:ilvl w:val="0"/>
          <w:numId w:val="2"/>
        </w:numPr>
        <w:spacing w:before="60" w:after="60" w:line="276" w:lineRule="auto"/>
        <w:jc w:val="both"/>
      </w:pPr>
      <w:r>
        <w:t>En las actividades de modelamiento (A1.3, A1.4) se utilizará el Process Classification Framework v8.0 de APQC como referencia de clasificación, disponible en acceso público a través del sitio web de APQC.</w:t>
      </w:r>
    </w:p>
    <w:p w14:paraId="73D0BEC9" w14:textId="77777777" w:rsidR="00DF1E73" w:rsidRDefault="00000000">
      <w:pPr>
        <w:pStyle w:val="Prrafodelista"/>
        <w:numPr>
          <w:ilvl w:val="0"/>
          <w:numId w:val="2"/>
        </w:numPr>
        <w:spacing w:before="60" w:after="60" w:line="276" w:lineRule="auto"/>
        <w:jc w:val="both"/>
      </w:pPr>
      <w:r>
        <w:t>En las actividades de consolidación y elaboración de entregables (A1.5, A2.3, A3.1 y A3.2) se emplearán herramientas de ofimática estándar (Microsoft Office 365) disponibles a través de la licencia corporativa de Arauco.</w:t>
      </w:r>
    </w:p>
    <w:p w14:paraId="2A340DFF" w14:textId="77777777" w:rsidR="00DF1E73" w:rsidRDefault="00000000">
      <w:pPr>
        <w:pStyle w:val="Prrafodelista"/>
        <w:numPr>
          <w:ilvl w:val="0"/>
          <w:numId w:val="2"/>
        </w:numPr>
        <w:spacing w:before="60" w:after="60" w:line="276" w:lineRule="auto"/>
        <w:jc w:val="both"/>
      </w:pPr>
      <w:r>
        <w:t>En las actividades de evaluación de riesgos y diseño del sistema (A2.1, A2.2, A3.1) se utilizará la metodología COSO II (marco ERM de COSO, versiones 2004 y 2017), disponible mediante acceso a la biblioteca virtual de la Universidad de La Frontera.</w:t>
      </w:r>
    </w:p>
    <w:p w14:paraId="51868164" w14:textId="6FA528BA" w:rsidR="00DF1E73" w:rsidRDefault="00000000" w:rsidP="00B50962">
      <w:pPr>
        <w:pStyle w:val="Prrafodelista"/>
        <w:numPr>
          <w:ilvl w:val="0"/>
          <w:numId w:val="2"/>
        </w:numPr>
        <w:spacing w:before="60" w:after="60" w:line="276" w:lineRule="auto"/>
        <w:jc w:val="both"/>
      </w:pPr>
      <w:r>
        <w:t>Para la redacción y análisis bibliográfico (A-G) se contará con acceso a la biblioteca presencial y virtual de la Universidad de La Frontera, incluyendo bases de datos de artículos científicos.</w:t>
      </w:r>
    </w:p>
    <w:p w14:paraId="2808250D" w14:textId="712B561D" w:rsidR="00DF1E73" w:rsidRDefault="00000000" w:rsidP="0009292C">
      <w:pPr>
        <w:spacing w:before="100" w:after="100" w:line="276" w:lineRule="auto"/>
        <w:jc w:val="both"/>
      </w:pPr>
      <w:r>
        <w:t>Respecto de la confidencialidad de la información: la totalidad de los datos, procesos, riesgos y entregables generados en el marco de esta AFE serán tratados con carácter confidencial, de conformidad con los acuerdos establecidos entre el investigador y Celulosa Arauco y Constitución S.A. El informe final del AFE será marcado como reservado y su circulación quedará restringida a los miembros de la Comisión Evaluadora del Magíster y a la Dirección Académica de Postgrado de la Universidad de La Frontera.</w:t>
      </w:r>
    </w:p>
    <w:p w14:paraId="5B821925" w14:textId="3271584D" w:rsidR="00DF1E73" w:rsidRPr="00DF6212" w:rsidRDefault="002433C5" w:rsidP="00DF6212">
      <w:pPr>
        <w:pStyle w:val="Ttulo1"/>
      </w:pPr>
      <w:r>
        <w:br w:type="page"/>
      </w:r>
      <w:bookmarkStart w:id="17" w:name="_Toc234068777"/>
      <w:r w:rsidR="00DF6212">
        <w:lastRenderedPageBreak/>
        <w:t>VII. BIBLIOGRAFÍA</w:t>
      </w:r>
      <w:bookmarkEnd w:id="17"/>
    </w:p>
    <w:p w14:paraId="3B4D2C13" w14:textId="462F153C" w:rsidR="00C754AC" w:rsidRDefault="00000000" w:rsidP="002433C5">
      <w:pPr>
        <w:spacing w:before="100" w:after="100" w:line="276" w:lineRule="auto"/>
        <w:ind w:left="709" w:hanging="709"/>
        <w:jc w:val="both"/>
      </w:pPr>
      <w:bookmarkStart w:id="18" w:name="_Ref22"/>
      <w:r>
        <w:t xml:space="preserve">[1] Thomas, D. S., &amp; Weiss, B. A. (2021). Maintenance Costs and Advanced Maintenance Techniques in Manufacturing Machinery: Survey and Analysis. International Journal of Prognostics and Health Management, 12(1). </w:t>
      </w:r>
      <w:hyperlink r:id="rId8" w:history="1">
        <w:r w:rsidRPr="00865048">
          <w:rPr>
            <w:rStyle w:val="Hipervnculo"/>
          </w:rPr>
          <w:t>https://pu</w:t>
        </w:r>
        <w:r w:rsidRPr="00865048">
          <w:rPr>
            <w:rStyle w:val="Hipervnculo"/>
          </w:rPr>
          <w:t>b</w:t>
        </w:r>
        <w:r w:rsidRPr="00865048">
          <w:rPr>
            <w:rStyle w:val="Hipervnculo"/>
          </w:rPr>
          <w:t>med.ncbi.nlm.nih.gov/36733900/</w:t>
        </w:r>
        <w:bookmarkEnd w:id="18"/>
      </w:hyperlink>
    </w:p>
    <w:p w14:paraId="2114A3EE" w14:textId="40A894FB" w:rsidR="00C754AC" w:rsidRDefault="00000000" w:rsidP="002433C5">
      <w:pPr>
        <w:spacing w:before="100" w:after="100" w:line="276" w:lineRule="auto"/>
        <w:ind w:left="709" w:hanging="709"/>
        <w:jc w:val="both"/>
      </w:pPr>
      <w:bookmarkStart w:id="19" w:name="_Ref15"/>
      <w:r>
        <w:t xml:space="preserve">[2] Jurdi, D. J., &amp; AlGhnaimat, S. M. (2021). The Effects of ERM Adoption on European Insurance Firms Performance and Risks. Journal of Risk and Financial Management, 14(11), 554. </w:t>
      </w:r>
      <w:hyperlink r:id="rId9" w:history="1">
        <w:r w:rsidRPr="00865048">
          <w:rPr>
            <w:rStyle w:val="Hipervnculo"/>
          </w:rPr>
          <w:t>https://doi.org/10.3390/jrfm14110554</w:t>
        </w:r>
        <w:bookmarkEnd w:id="19"/>
      </w:hyperlink>
    </w:p>
    <w:p w14:paraId="7FFB403D" w14:textId="427DE4C9" w:rsidR="00C754AC" w:rsidRDefault="00000000" w:rsidP="002433C5">
      <w:pPr>
        <w:spacing w:before="100" w:after="100" w:line="276" w:lineRule="auto"/>
        <w:ind w:left="709" w:hanging="709"/>
        <w:jc w:val="both"/>
      </w:pPr>
      <w:bookmarkStart w:id="20" w:name="_Ref16"/>
      <w:r>
        <w:t xml:space="preserve">[3] Yang, S., Ishtiaq, M., &amp; Anwar, M. (2018). Enterprise Risk Management Practices and Firm Performance, the Mediating Role of Competitive Advantage and the Moderating Role of Financial Literacy. Journal of Risk and Financial Management, 11(3), 35. </w:t>
      </w:r>
      <w:hyperlink r:id="rId10" w:history="1">
        <w:r w:rsidRPr="00865048">
          <w:rPr>
            <w:rStyle w:val="Hipervnculo"/>
          </w:rPr>
          <w:t>https://doi.org/10.3390/jrfm110300</w:t>
        </w:r>
        <w:r w:rsidRPr="00865048">
          <w:rPr>
            <w:rStyle w:val="Hipervnculo"/>
          </w:rPr>
          <w:t>3</w:t>
        </w:r>
        <w:r w:rsidRPr="00865048">
          <w:rPr>
            <w:rStyle w:val="Hipervnculo"/>
          </w:rPr>
          <w:t>5</w:t>
        </w:r>
        <w:bookmarkEnd w:id="20"/>
      </w:hyperlink>
    </w:p>
    <w:p w14:paraId="7598BA3D" w14:textId="0CEF6C4F" w:rsidR="00C754AC" w:rsidRDefault="00000000" w:rsidP="002433C5">
      <w:pPr>
        <w:spacing w:before="100" w:after="100" w:line="276" w:lineRule="auto"/>
        <w:ind w:left="709" w:hanging="709"/>
        <w:jc w:val="both"/>
      </w:pPr>
      <w:bookmarkStart w:id="21" w:name="_Ref19"/>
      <w:r>
        <w:t xml:space="preserve">[4] Jagrič, T., Malnar, A., &amp; Galun, M. (2026). From ESG Risk Governance to Firm Performance: Measuring the Quality of Corporate Risk Management. Sustainability, 18(10), 5131. </w:t>
      </w:r>
      <w:hyperlink r:id="rId11" w:history="1">
        <w:r w:rsidRPr="00865048">
          <w:rPr>
            <w:rStyle w:val="Hipervnculo"/>
          </w:rPr>
          <w:t>https://doi.org/10.3390/su18105131</w:t>
        </w:r>
        <w:bookmarkEnd w:id="21"/>
      </w:hyperlink>
    </w:p>
    <w:p w14:paraId="178341EB" w14:textId="56D14F87" w:rsidR="00C754AC" w:rsidRDefault="00000000" w:rsidP="002433C5">
      <w:pPr>
        <w:spacing w:before="100" w:after="100" w:line="276" w:lineRule="auto"/>
        <w:ind w:left="709" w:hanging="709"/>
        <w:jc w:val="both"/>
      </w:pPr>
      <w:bookmarkStart w:id="22" w:name="_Ref12"/>
      <w:r>
        <w:t xml:space="preserve">[5] Anton, S. G., &amp; Nucu, A. E. A. (2020). Enterprise Risk Management: A Literature Review and Agenda for Future Research. Journal of Risk and Financial Management, 13(11), 281. </w:t>
      </w:r>
      <w:hyperlink r:id="rId12" w:history="1">
        <w:r w:rsidRPr="00865048">
          <w:rPr>
            <w:rStyle w:val="Hipervnculo"/>
          </w:rPr>
          <w:t>https://doi.org/10.3390/jrfm13110281</w:t>
        </w:r>
        <w:bookmarkEnd w:id="22"/>
      </w:hyperlink>
    </w:p>
    <w:p w14:paraId="748A5F6F" w14:textId="17C85F5E" w:rsidR="00C754AC" w:rsidRDefault="00000000" w:rsidP="002433C5">
      <w:pPr>
        <w:spacing w:before="100" w:after="100" w:line="276" w:lineRule="auto"/>
        <w:ind w:left="709" w:hanging="709"/>
        <w:jc w:val="both"/>
      </w:pPr>
      <w:bookmarkStart w:id="23" w:name="_Ref1"/>
      <w:r>
        <w:t xml:space="preserve">[6] Hammer, M., &amp; Champy, J. (1993). Reengineering the corporation: A manifesto for business revolution. </w:t>
      </w:r>
      <w:proofErr w:type="spellStart"/>
      <w:r>
        <w:t>HarperBusiness</w:t>
      </w:r>
      <w:proofErr w:type="spellEnd"/>
      <w:r>
        <w:t>.</w:t>
      </w:r>
      <w:bookmarkEnd w:id="23"/>
    </w:p>
    <w:p w14:paraId="60856E28" w14:textId="7CFF6293" w:rsidR="00C754AC" w:rsidRDefault="00000000" w:rsidP="002433C5">
      <w:pPr>
        <w:spacing w:before="100" w:after="100" w:line="276" w:lineRule="auto"/>
        <w:ind w:left="709" w:hanging="709"/>
        <w:jc w:val="both"/>
      </w:pPr>
      <w:bookmarkStart w:id="24" w:name="_Ref2"/>
      <w:r>
        <w:t>[7] Harmon, P. (2019). Business process change: A business process management guide for managers and process professionals (4th ed.). Morgan Kaufmann.</w:t>
      </w:r>
      <w:bookmarkEnd w:id="24"/>
    </w:p>
    <w:p w14:paraId="1BFC8D2B" w14:textId="6C75A1E7" w:rsidR="00C754AC" w:rsidRDefault="00000000" w:rsidP="002433C5">
      <w:pPr>
        <w:spacing w:before="100" w:after="100" w:line="276" w:lineRule="auto"/>
        <w:ind w:left="709" w:hanging="709"/>
        <w:jc w:val="both"/>
      </w:pPr>
      <w:bookmarkStart w:id="25" w:name="_Ref3"/>
      <w:r>
        <w:t>[8] Davenport, T. H. (1993). Process innovation: Reengineering work through information technology. Harvard Business School Press.</w:t>
      </w:r>
      <w:bookmarkEnd w:id="25"/>
    </w:p>
    <w:p w14:paraId="68233F8C" w14:textId="5BE48697" w:rsidR="00C754AC" w:rsidRDefault="00000000" w:rsidP="002433C5">
      <w:pPr>
        <w:spacing w:before="100" w:after="100" w:line="276" w:lineRule="auto"/>
        <w:ind w:left="709" w:hanging="709"/>
        <w:jc w:val="both"/>
      </w:pPr>
      <w:bookmarkStart w:id="26" w:name="_Ref4"/>
      <w:r>
        <w:t xml:space="preserve">[9] Litvaj, I., Ponisciakova, O., Stancekova, D., &amp; Svobodova, J. (2022). Decision-Making Procedures and Their Relation to Knowledge Management and Quality Management. Sustainability, 14(1), 572. </w:t>
      </w:r>
      <w:hyperlink r:id="rId13" w:history="1">
        <w:r w:rsidRPr="00865048">
          <w:rPr>
            <w:rStyle w:val="Hipervnculo"/>
          </w:rPr>
          <w:t>https://doi.org/10.3390/su14010572</w:t>
        </w:r>
        <w:bookmarkEnd w:id="26"/>
      </w:hyperlink>
    </w:p>
    <w:p w14:paraId="47C84C4D" w14:textId="4E9FC441" w:rsidR="00C754AC" w:rsidRDefault="00000000" w:rsidP="002433C5">
      <w:pPr>
        <w:spacing w:before="100" w:after="100" w:line="276" w:lineRule="auto"/>
        <w:ind w:left="709" w:hanging="709"/>
        <w:jc w:val="both"/>
      </w:pPr>
      <w:bookmarkStart w:id="27" w:name="_Ref5"/>
      <w:r>
        <w:t xml:space="preserve">[10] Ferreira, J. R., &amp; Vasconcelos Ramos, A. (2024). Optimization of Business Processes Through BPM Methodology. Information, 15(11), 724. </w:t>
      </w:r>
      <w:hyperlink r:id="rId14" w:history="1">
        <w:r w:rsidRPr="00865048">
          <w:rPr>
            <w:rStyle w:val="Hipervnculo"/>
          </w:rPr>
          <w:t>https://doi.org/10.3390/info15110724</w:t>
        </w:r>
        <w:bookmarkEnd w:id="27"/>
      </w:hyperlink>
    </w:p>
    <w:p w14:paraId="0161A884" w14:textId="502F7166" w:rsidR="00C754AC" w:rsidRDefault="00000000" w:rsidP="002433C5">
      <w:pPr>
        <w:spacing w:before="100" w:after="100" w:line="276" w:lineRule="auto"/>
        <w:ind w:left="709" w:hanging="709"/>
        <w:jc w:val="both"/>
      </w:pPr>
      <w:bookmarkStart w:id="28" w:name="_Ref6"/>
      <w:r>
        <w:t xml:space="preserve">[11] Mendling, J., Pentland, B. T., &amp; Recker, J. (2020). Building a complementary agenda for business process management and digital innovation. European Journal of Information Systems, 29(3), 208–219. </w:t>
      </w:r>
      <w:hyperlink r:id="rId15" w:history="1">
        <w:r w:rsidRPr="00865048">
          <w:rPr>
            <w:rStyle w:val="Hipervnculo"/>
          </w:rPr>
          <w:t>https://doi.org/10.1080/0960085X.2020.1755207</w:t>
        </w:r>
        <w:bookmarkEnd w:id="28"/>
      </w:hyperlink>
    </w:p>
    <w:p w14:paraId="4E17ADB0" w14:textId="042B0DD0" w:rsidR="00C754AC" w:rsidRDefault="00000000" w:rsidP="002433C5">
      <w:pPr>
        <w:spacing w:before="100" w:after="100" w:line="276" w:lineRule="auto"/>
        <w:ind w:left="709" w:hanging="709"/>
        <w:jc w:val="both"/>
      </w:pPr>
      <w:bookmarkStart w:id="29" w:name="_Ref7"/>
      <w:r>
        <w:t xml:space="preserve">[12] Kerpedzhiev, G. D., König, U. M., Röglinger, M., &amp; Rosemann, M. (2021). An exploration into future business process management capabilities in view of digitalization. Business &amp; Information Systems Engineering, 63(2), 83–96. </w:t>
      </w:r>
      <w:hyperlink r:id="rId16" w:history="1">
        <w:r w:rsidRPr="00865048">
          <w:rPr>
            <w:rStyle w:val="Hipervnculo"/>
          </w:rPr>
          <w:t>https://doi.org/10.1007/s12599-020-00637-0</w:t>
        </w:r>
        <w:bookmarkEnd w:id="29"/>
      </w:hyperlink>
    </w:p>
    <w:p w14:paraId="28150ABE" w14:textId="0C28B8A6" w:rsidR="00C754AC" w:rsidRDefault="00000000" w:rsidP="002433C5">
      <w:pPr>
        <w:spacing w:before="100" w:after="100" w:line="276" w:lineRule="auto"/>
        <w:ind w:left="709" w:hanging="709"/>
        <w:jc w:val="both"/>
      </w:pPr>
      <w:bookmarkStart w:id="30" w:name="_Ref8"/>
      <w:r>
        <w:t xml:space="preserve">[13] American Productivity &amp; Quality Center [APQC]. (2023). Process Classification Framework (PCF): Cross Industry. APQC. </w:t>
      </w:r>
      <w:hyperlink r:id="rId17" w:history="1">
        <w:r w:rsidRPr="00865048">
          <w:rPr>
            <w:rStyle w:val="Hipervnculo"/>
          </w:rPr>
          <w:t>https://www.apqc.org/process-frameworks</w:t>
        </w:r>
        <w:bookmarkEnd w:id="30"/>
      </w:hyperlink>
    </w:p>
    <w:p w14:paraId="104F6A77" w14:textId="0ECB2B7B" w:rsidR="00C754AC" w:rsidRDefault="00000000" w:rsidP="002433C5">
      <w:pPr>
        <w:spacing w:before="100" w:after="100" w:line="276" w:lineRule="auto"/>
        <w:ind w:left="709" w:hanging="709"/>
        <w:jc w:val="both"/>
      </w:pPr>
      <w:bookmarkStart w:id="31" w:name="_Ref9"/>
      <w:r>
        <w:t xml:space="preserve">[14] Software Engineering Institute [SEI]. (2010). CMMI for Development, Version 1.3. Carnegie Mellon </w:t>
      </w:r>
      <w:proofErr w:type="spellStart"/>
      <w:r>
        <w:t>University</w:t>
      </w:r>
      <w:proofErr w:type="spellEnd"/>
      <w:r>
        <w:t>.</w:t>
      </w:r>
      <w:bookmarkEnd w:id="31"/>
    </w:p>
    <w:p w14:paraId="013428A4" w14:textId="402C4956" w:rsidR="00C754AC" w:rsidRDefault="00000000" w:rsidP="002433C5">
      <w:pPr>
        <w:spacing w:before="100" w:after="100" w:line="276" w:lineRule="auto"/>
        <w:ind w:left="709" w:hanging="709"/>
        <w:jc w:val="both"/>
      </w:pPr>
      <w:bookmarkStart w:id="32" w:name="_Ref10"/>
      <w:r>
        <w:t xml:space="preserve">[15] Szelągowski, M., &amp; Berniak-Woźny, J. (2022). How to improve the assessment of BPM maturity in the era of digital transformation. Information Systems and e-Business Management, 20(1), 171–198. </w:t>
      </w:r>
      <w:hyperlink r:id="rId18" w:history="1">
        <w:r w:rsidRPr="00865048">
          <w:rPr>
            <w:rStyle w:val="Hipervnculo"/>
          </w:rPr>
          <w:t>https://doi.org/10.1007/s10257-021-00549-w</w:t>
        </w:r>
        <w:bookmarkEnd w:id="32"/>
      </w:hyperlink>
    </w:p>
    <w:p w14:paraId="495A77E2" w14:textId="4D115D05" w:rsidR="00C754AC" w:rsidRDefault="00000000" w:rsidP="002433C5">
      <w:pPr>
        <w:spacing w:before="100" w:after="100" w:line="276" w:lineRule="auto"/>
        <w:ind w:left="709" w:hanging="709"/>
        <w:jc w:val="both"/>
      </w:pPr>
      <w:bookmarkStart w:id="33" w:name="_Ref11"/>
      <w:r>
        <w:t xml:space="preserve">[16] Dobrosavljević, A., Urošević, S., Vuković, M., Talijan, M., &amp; Marinković, D. (2020). Evaluation of Process Orientation Dimensions in the Apparel Industry. Sustainability, 12(10), 4145. </w:t>
      </w:r>
      <w:hyperlink r:id="rId19" w:history="1">
        <w:r w:rsidRPr="00865048">
          <w:rPr>
            <w:rStyle w:val="Hipervnculo"/>
          </w:rPr>
          <w:t>https://doi.org/10.3390/su12104145</w:t>
        </w:r>
        <w:bookmarkEnd w:id="33"/>
      </w:hyperlink>
    </w:p>
    <w:p w14:paraId="1521BA21" w14:textId="125BCA24" w:rsidR="00C754AC" w:rsidRDefault="00000000" w:rsidP="002433C5">
      <w:pPr>
        <w:spacing w:before="100" w:after="100" w:line="276" w:lineRule="auto"/>
        <w:ind w:left="709" w:hanging="709"/>
        <w:jc w:val="both"/>
      </w:pPr>
      <w:bookmarkStart w:id="34" w:name="_Ref13"/>
      <w:r>
        <w:lastRenderedPageBreak/>
        <w:t>[17] Committee of Sponsoring Organizations of the Treadway Commission [COSO]. (2004). Enterprise Risk Management: Integrated Framework. AICPA.</w:t>
      </w:r>
      <w:bookmarkEnd w:id="34"/>
    </w:p>
    <w:p w14:paraId="571410E3" w14:textId="666677A1" w:rsidR="00C754AC" w:rsidRDefault="00000000" w:rsidP="002433C5">
      <w:pPr>
        <w:spacing w:before="100" w:after="100" w:line="276" w:lineRule="auto"/>
        <w:ind w:left="709" w:hanging="709"/>
        <w:jc w:val="both"/>
      </w:pPr>
      <w:bookmarkStart w:id="35" w:name="_Ref21"/>
      <w:r>
        <w:t>[18] Committee of Sponsoring Organizations of the Treadway Commission [COSO]. (2017). Enterprise Risk Management: Integrating with Strategy and Performance. AICPA.</w:t>
      </w:r>
      <w:bookmarkEnd w:id="35"/>
    </w:p>
    <w:p w14:paraId="103905C7" w14:textId="0408504E" w:rsidR="00C754AC" w:rsidRDefault="00000000" w:rsidP="002433C5">
      <w:pPr>
        <w:spacing w:before="100" w:after="100" w:line="276" w:lineRule="auto"/>
        <w:ind w:left="709" w:hanging="709"/>
        <w:jc w:val="both"/>
      </w:pPr>
      <w:bookmarkStart w:id="36" w:name="_Ref14"/>
      <w:r>
        <w:t>[19] Rummler, G. A., &amp; Brache, A. P. (2013). Improving performance: How to manage the white space on the organization chart (3rd ed.). Jossey-Bass.</w:t>
      </w:r>
      <w:bookmarkEnd w:id="36"/>
    </w:p>
    <w:p w14:paraId="58E7BFB6" w14:textId="6F567696" w:rsidR="00C754AC" w:rsidRDefault="00000000" w:rsidP="002433C5">
      <w:pPr>
        <w:spacing w:before="100" w:after="100" w:line="276" w:lineRule="auto"/>
        <w:ind w:left="709" w:hanging="709"/>
        <w:jc w:val="both"/>
      </w:pPr>
      <w:bookmarkStart w:id="37" w:name="_Ref17"/>
      <w:r>
        <w:t xml:space="preserve">[20] Tubis, A. A., &amp; Werbińska-Wojciechowska, S. (2021). Risk Management Maturity Model for Logistic Processes. Sustainability, 13(2), 659. </w:t>
      </w:r>
      <w:hyperlink r:id="rId20" w:history="1">
        <w:r w:rsidRPr="00865048">
          <w:rPr>
            <w:rStyle w:val="Hipervnculo"/>
          </w:rPr>
          <w:t>https://doi.org/10.3390/su13020659</w:t>
        </w:r>
        <w:bookmarkEnd w:id="37"/>
      </w:hyperlink>
    </w:p>
    <w:p w14:paraId="585054E5" w14:textId="76CBCD6E" w:rsidR="00C754AC" w:rsidRDefault="00000000" w:rsidP="002433C5">
      <w:pPr>
        <w:spacing w:before="100" w:after="100" w:line="276" w:lineRule="auto"/>
        <w:ind w:left="709" w:hanging="709"/>
        <w:jc w:val="both"/>
      </w:pPr>
      <w:bookmarkStart w:id="38" w:name="_Ref18"/>
      <w:r>
        <w:t xml:space="preserve">[21] Liu, W., &amp; Waqas, M. (2026). A COSO-Based Enterprise Risk Management Maturity in the Service Industry. Sustainability, 18(4), 1929. </w:t>
      </w:r>
      <w:hyperlink r:id="rId21" w:history="1">
        <w:r w:rsidRPr="00865048">
          <w:rPr>
            <w:rStyle w:val="Hipervnculo"/>
          </w:rPr>
          <w:t>https://doi.org/10.3390/su18041929</w:t>
        </w:r>
        <w:bookmarkEnd w:id="38"/>
      </w:hyperlink>
    </w:p>
    <w:p w14:paraId="4C6F1A2A" w14:textId="2048B425" w:rsidR="00C754AC" w:rsidRDefault="00000000" w:rsidP="002433C5">
      <w:pPr>
        <w:spacing w:before="100" w:after="100" w:line="276" w:lineRule="auto"/>
        <w:ind w:left="709" w:hanging="709"/>
        <w:jc w:val="both"/>
      </w:pPr>
      <w:bookmarkStart w:id="39" w:name="_Ref23"/>
      <w:r>
        <w:t xml:space="preserve">[22] Marca Chile. (2024). China y Estados Unidos siguen siendo los principales destinos de las exportaciones forestales y agropecuarias (enero-septiembre 2024). </w:t>
      </w:r>
      <w:hyperlink r:id="rId22" w:history="1">
        <w:r w:rsidRPr="00197B85">
          <w:rPr>
            <w:rStyle w:val="Hipervnculo"/>
          </w:rPr>
          <w:t>Marca Chile</w:t>
        </w:r>
      </w:hyperlink>
      <w:r>
        <w:t xml:space="preserve">. </w:t>
      </w:r>
      <w:bookmarkEnd w:id="39"/>
    </w:p>
    <w:p w14:paraId="38B9A2B4" w14:textId="400C9555" w:rsidR="00C754AC" w:rsidRDefault="00000000" w:rsidP="002433C5">
      <w:pPr>
        <w:spacing w:before="100" w:after="100" w:line="276" w:lineRule="auto"/>
        <w:ind w:left="709" w:hanging="709"/>
        <w:jc w:val="both"/>
      </w:pPr>
      <w:bookmarkStart w:id="40" w:name="_Ref24"/>
      <w:r>
        <w:t xml:space="preserve">[23] Celulosa Arauco y Constitución S.A. (2024). Arauco continúa consolidando el camino hacia un futuro sustentable: cumplimiento de los proyectos asociados a la emisión de 12 millones de UF en bonos sostenibles (aprox. USD 500 millones). </w:t>
      </w:r>
      <w:hyperlink r:id="rId23" w:history="1">
        <w:r w:rsidRPr="00197B85">
          <w:rPr>
            <w:rStyle w:val="Hipervnculo"/>
          </w:rPr>
          <w:t>Arauco</w:t>
        </w:r>
      </w:hyperlink>
      <w:r>
        <w:t xml:space="preserve">. </w:t>
      </w:r>
      <w:bookmarkEnd w:id="40"/>
    </w:p>
    <w:p w14:paraId="532BA548" w14:textId="7DCD4B09" w:rsidR="00C754AC" w:rsidRDefault="00000000" w:rsidP="002433C5">
      <w:pPr>
        <w:spacing w:before="100" w:after="100" w:line="276" w:lineRule="auto"/>
        <w:ind w:left="709" w:hanging="709"/>
        <w:jc w:val="both"/>
      </w:pPr>
      <w:bookmarkStart w:id="41" w:name="_Ref20"/>
      <w:r>
        <w:t xml:space="preserve">[24] Ato, M., López, J. J., &amp; Benavente, A. (2013). Un sistema de clasificación de los diseños de investigación en psicología. Anales de Psicología, 29(3), 1038–1059. </w:t>
      </w:r>
      <w:hyperlink r:id="rId24" w:history="1">
        <w:r w:rsidRPr="00865048">
          <w:rPr>
            <w:rStyle w:val="Hipervnculo"/>
          </w:rPr>
          <w:t>https://doi.org/10.6018/analesps.29.3.178511</w:t>
        </w:r>
        <w:bookmarkEnd w:id="41"/>
      </w:hyperlink>
    </w:p>
    <w:sectPr w:rsidR="00C754AC">
      <w:headerReference w:type="default" r:id="rId25"/>
      <w:footerReference w:type="default" r:id="rId2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58D6CC" w14:textId="77777777" w:rsidR="006F42BE" w:rsidRDefault="006F42BE">
      <w:r>
        <w:separator/>
      </w:r>
    </w:p>
  </w:endnote>
  <w:endnote w:type="continuationSeparator" w:id="0">
    <w:p w14:paraId="454CE6D7" w14:textId="77777777" w:rsidR="006F42BE" w:rsidRDefault="006F4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8B84D7" w14:textId="77777777" w:rsidR="00DF1E73" w:rsidRDefault="00000000">
    <w:pPr>
      <w:pBdr>
        <w:top w:val="single" w:sz="4" w:space="1" w:color="000000"/>
      </w:pBdr>
      <w:spacing w:before="120"/>
      <w:jc w:val="center"/>
    </w:pPr>
    <w:r>
      <w:rPr>
        <w:color w:val="000000"/>
        <w:sz w:val="16"/>
        <w:szCs w:val="16"/>
      </w:rPr>
      <w:t xml:space="preserve">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B455E0">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0242A9" w14:textId="77777777" w:rsidR="006F42BE" w:rsidRDefault="006F42BE">
      <w:r>
        <w:separator/>
      </w:r>
    </w:p>
  </w:footnote>
  <w:footnote w:type="continuationSeparator" w:id="0">
    <w:p w14:paraId="03FA3ED0" w14:textId="77777777" w:rsidR="006F42BE" w:rsidRDefault="006F4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62795" w14:textId="77777777" w:rsidR="00DF1E73" w:rsidRDefault="00000000" w:rsidP="00331978">
    <w:pPr>
      <w:pBdr>
        <w:bottom w:val="single" w:sz="4" w:space="1" w:color="000000"/>
      </w:pBdr>
      <w:spacing w:after="120"/>
      <w:jc w:val="center"/>
    </w:pPr>
    <w:r>
      <w:rPr>
        <w:color w:val="000000"/>
        <w:sz w:val="16"/>
        <w:szCs w:val="16"/>
      </w:rPr>
      <w:t>PROYECTO DEL TRABAJO FINAL DE GRADO - BASTIÁN DARWIT VERA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706984"/>
    <w:multiLevelType w:val="hybridMultilevel"/>
    <w:tmpl w:val="6602B784"/>
    <w:lvl w:ilvl="0" w:tplc="BB1CA3D6">
      <w:start w:val="1"/>
      <w:numFmt w:val="bullet"/>
      <w:lvlText w:val="•"/>
      <w:lvlJc w:val="left"/>
      <w:pPr>
        <w:ind w:left="720" w:hanging="360"/>
      </w:pPr>
    </w:lvl>
    <w:lvl w:ilvl="1" w:tplc="DCD20D0E">
      <w:start w:val="1"/>
      <w:numFmt w:val="bullet"/>
      <w:lvlText w:val="–"/>
      <w:lvlJc w:val="left"/>
      <w:pPr>
        <w:ind w:left="1080" w:hanging="360"/>
      </w:pPr>
    </w:lvl>
    <w:lvl w:ilvl="2" w:tplc="27B25842">
      <w:numFmt w:val="decimal"/>
      <w:lvlText w:val=""/>
      <w:lvlJc w:val="left"/>
    </w:lvl>
    <w:lvl w:ilvl="3" w:tplc="5EA2FB32">
      <w:numFmt w:val="decimal"/>
      <w:lvlText w:val=""/>
      <w:lvlJc w:val="left"/>
    </w:lvl>
    <w:lvl w:ilvl="4" w:tplc="4ACE207C">
      <w:numFmt w:val="decimal"/>
      <w:lvlText w:val=""/>
      <w:lvlJc w:val="left"/>
    </w:lvl>
    <w:lvl w:ilvl="5" w:tplc="964EA1B8">
      <w:numFmt w:val="decimal"/>
      <w:lvlText w:val=""/>
      <w:lvlJc w:val="left"/>
    </w:lvl>
    <w:lvl w:ilvl="6" w:tplc="B608DE02">
      <w:numFmt w:val="decimal"/>
      <w:lvlText w:val=""/>
      <w:lvlJc w:val="left"/>
    </w:lvl>
    <w:lvl w:ilvl="7" w:tplc="83086B64">
      <w:numFmt w:val="decimal"/>
      <w:lvlText w:val=""/>
      <w:lvlJc w:val="left"/>
    </w:lvl>
    <w:lvl w:ilvl="8" w:tplc="5CA204FE">
      <w:numFmt w:val="decimal"/>
      <w:lvlText w:val=""/>
      <w:lvlJc w:val="left"/>
    </w:lvl>
  </w:abstractNum>
  <w:abstractNum w:abstractNumId="1" w15:restartNumberingAfterBreak="0">
    <w:nsid w:val="44025387"/>
    <w:multiLevelType w:val="hybridMultilevel"/>
    <w:tmpl w:val="58C289DC"/>
    <w:lvl w:ilvl="0" w:tplc="2FB49206">
      <w:start w:val="1"/>
      <w:numFmt w:val="bullet"/>
      <w:lvlText w:val="●"/>
      <w:lvlJc w:val="left"/>
      <w:pPr>
        <w:ind w:left="720" w:hanging="360"/>
      </w:pPr>
    </w:lvl>
    <w:lvl w:ilvl="1" w:tplc="61348D02">
      <w:start w:val="1"/>
      <w:numFmt w:val="bullet"/>
      <w:lvlText w:val="○"/>
      <w:lvlJc w:val="left"/>
      <w:pPr>
        <w:ind w:left="1440" w:hanging="360"/>
      </w:pPr>
    </w:lvl>
    <w:lvl w:ilvl="2" w:tplc="FF3AFDA0">
      <w:start w:val="1"/>
      <w:numFmt w:val="bullet"/>
      <w:lvlText w:val="■"/>
      <w:lvlJc w:val="left"/>
      <w:pPr>
        <w:ind w:left="2160" w:hanging="360"/>
      </w:pPr>
    </w:lvl>
    <w:lvl w:ilvl="3" w:tplc="6DEC6C08">
      <w:start w:val="1"/>
      <w:numFmt w:val="bullet"/>
      <w:lvlText w:val="●"/>
      <w:lvlJc w:val="left"/>
      <w:pPr>
        <w:ind w:left="2880" w:hanging="360"/>
      </w:pPr>
    </w:lvl>
    <w:lvl w:ilvl="4" w:tplc="D8E2F546">
      <w:start w:val="1"/>
      <w:numFmt w:val="bullet"/>
      <w:lvlText w:val="○"/>
      <w:lvlJc w:val="left"/>
      <w:pPr>
        <w:ind w:left="3600" w:hanging="360"/>
      </w:pPr>
    </w:lvl>
    <w:lvl w:ilvl="5" w:tplc="3BF47B38">
      <w:start w:val="1"/>
      <w:numFmt w:val="bullet"/>
      <w:lvlText w:val="■"/>
      <w:lvlJc w:val="left"/>
      <w:pPr>
        <w:ind w:left="4320" w:hanging="360"/>
      </w:pPr>
    </w:lvl>
    <w:lvl w:ilvl="6" w:tplc="B4A487D2">
      <w:start w:val="1"/>
      <w:numFmt w:val="bullet"/>
      <w:lvlText w:val="●"/>
      <w:lvlJc w:val="left"/>
      <w:pPr>
        <w:ind w:left="5040" w:hanging="360"/>
      </w:pPr>
    </w:lvl>
    <w:lvl w:ilvl="7" w:tplc="0C1E21B8">
      <w:start w:val="1"/>
      <w:numFmt w:val="bullet"/>
      <w:lvlText w:val="●"/>
      <w:lvlJc w:val="left"/>
      <w:pPr>
        <w:ind w:left="5760" w:hanging="360"/>
      </w:pPr>
    </w:lvl>
    <w:lvl w:ilvl="8" w:tplc="DCC0456E">
      <w:start w:val="1"/>
      <w:numFmt w:val="bullet"/>
      <w:lvlText w:val="●"/>
      <w:lvlJc w:val="left"/>
      <w:pPr>
        <w:ind w:left="6480" w:hanging="360"/>
      </w:pPr>
    </w:lvl>
  </w:abstractNum>
  <w:abstractNum w:abstractNumId="2" w15:restartNumberingAfterBreak="0">
    <w:nsid w:val="55852190"/>
    <w:multiLevelType w:val="hybridMultilevel"/>
    <w:tmpl w:val="B6624264"/>
    <w:lvl w:ilvl="0" w:tplc="63B82818">
      <w:start w:val="1"/>
      <w:numFmt w:val="decimal"/>
      <w:lvlText w:val="%1."/>
      <w:lvlJc w:val="left"/>
      <w:pPr>
        <w:ind w:left="720" w:hanging="360"/>
      </w:pPr>
    </w:lvl>
    <w:lvl w:ilvl="1" w:tplc="9BF21112">
      <w:numFmt w:val="decimal"/>
      <w:lvlText w:val=""/>
      <w:lvlJc w:val="left"/>
    </w:lvl>
    <w:lvl w:ilvl="2" w:tplc="46627CDC">
      <w:numFmt w:val="decimal"/>
      <w:lvlText w:val=""/>
      <w:lvlJc w:val="left"/>
    </w:lvl>
    <w:lvl w:ilvl="3" w:tplc="96407AE6">
      <w:numFmt w:val="decimal"/>
      <w:lvlText w:val=""/>
      <w:lvlJc w:val="left"/>
    </w:lvl>
    <w:lvl w:ilvl="4" w:tplc="461E6F5A">
      <w:numFmt w:val="decimal"/>
      <w:lvlText w:val=""/>
      <w:lvlJc w:val="left"/>
    </w:lvl>
    <w:lvl w:ilvl="5" w:tplc="372AA0CC">
      <w:numFmt w:val="decimal"/>
      <w:lvlText w:val=""/>
      <w:lvlJc w:val="left"/>
    </w:lvl>
    <w:lvl w:ilvl="6" w:tplc="59A6AFF8">
      <w:numFmt w:val="decimal"/>
      <w:lvlText w:val=""/>
      <w:lvlJc w:val="left"/>
    </w:lvl>
    <w:lvl w:ilvl="7" w:tplc="6F5A5AF2">
      <w:numFmt w:val="decimal"/>
      <w:lvlText w:val=""/>
      <w:lvlJc w:val="left"/>
    </w:lvl>
    <w:lvl w:ilvl="8" w:tplc="73586766">
      <w:numFmt w:val="decimal"/>
      <w:lvlText w:val=""/>
      <w:lvlJc w:val="left"/>
    </w:lvl>
  </w:abstractNum>
  <w:num w:numId="1" w16cid:durableId="1124690845">
    <w:abstractNumId w:val="1"/>
    <w:lvlOverride w:ilvl="0">
      <w:startOverride w:val="1"/>
    </w:lvlOverride>
  </w:num>
  <w:num w:numId="2" w16cid:durableId="762796743">
    <w:abstractNumId w:val="0"/>
    <w:lvlOverride w:ilvl="0">
      <w:startOverride w:val="1"/>
    </w:lvlOverride>
  </w:num>
  <w:num w:numId="3" w16cid:durableId="195305165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73"/>
    <w:rsid w:val="00002B21"/>
    <w:rsid w:val="0009292C"/>
    <w:rsid w:val="000C7EA0"/>
    <w:rsid w:val="00134148"/>
    <w:rsid w:val="00197B85"/>
    <w:rsid w:val="00213D7B"/>
    <w:rsid w:val="002433C5"/>
    <w:rsid w:val="002742B3"/>
    <w:rsid w:val="0030543A"/>
    <w:rsid w:val="00331978"/>
    <w:rsid w:val="003767BD"/>
    <w:rsid w:val="003C6FB6"/>
    <w:rsid w:val="003D1E43"/>
    <w:rsid w:val="00402AB7"/>
    <w:rsid w:val="0043753E"/>
    <w:rsid w:val="00467B64"/>
    <w:rsid w:val="00501D66"/>
    <w:rsid w:val="00504EC6"/>
    <w:rsid w:val="005152E8"/>
    <w:rsid w:val="00567A29"/>
    <w:rsid w:val="005A3F0A"/>
    <w:rsid w:val="00616BBD"/>
    <w:rsid w:val="00623319"/>
    <w:rsid w:val="00671D51"/>
    <w:rsid w:val="00680D8F"/>
    <w:rsid w:val="006C63DA"/>
    <w:rsid w:val="006F42BE"/>
    <w:rsid w:val="00710AF9"/>
    <w:rsid w:val="00725D7A"/>
    <w:rsid w:val="007C5997"/>
    <w:rsid w:val="00865048"/>
    <w:rsid w:val="009A595A"/>
    <w:rsid w:val="00A40610"/>
    <w:rsid w:val="00A72C4C"/>
    <w:rsid w:val="00AA7C70"/>
    <w:rsid w:val="00AC0D98"/>
    <w:rsid w:val="00AD38A0"/>
    <w:rsid w:val="00B41FE6"/>
    <w:rsid w:val="00B455E0"/>
    <w:rsid w:val="00B50962"/>
    <w:rsid w:val="00C40E99"/>
    <w:rsid w:val="00C66253"/>
    <w:rsid w:val="00C712FB"/>
    <w:rsid w:val="00C754AC"/>
    <w:rsid w:val="00C95AF4"/>
    <w:rsid w:val="00CC0BD6"/>
    <w:rsid w:val="00DF1E73"/>
    <w:rsid w:val="00DF6212"/>
    <w:rsid w:val="00E009A5"/>
    <w:rsid w:val="00E07A07"/>
    <w:rsid w:val="00E1494A"/>
    <w:rsid w:val="00E44137"/>
    <w:rsid w:val="00E91BD2"/>
    <w:rsid w:val="00ED18C8"/>
    <w:rsid w:val="00EE4249"/>
    <w:rsid w:val="00EF14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18EF2F4"/>
  <w15:docId w15:val="{1F899BA9-9F47-364C-8015-2722ECE4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12121"/>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331978"/>
    <w:pPr>
      <w:spacing w:before="360" w:after="180"/>
      <w:outlineLvl w:val="0"/>
    </w:pPr>
    <w:rPr>
      <w:b/>
      <w:bCs/>
      <w:color w:val="000000" w:themeColor="text1"/>
      <w:sz w:val="28"/>
      <w:szCs w:val="28"/>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unhideWhenUsed/>
    <w:qFormat/>
    <w:rsid w:val="00331978"/>
    <w:pPr>
      <w:outlineLvl w:val="2"/>
    </w:pPr>
    <w:rPr>
      <w:b/>
      <w:bCs/>
      <w:color w:val="000000" w:themeColor="text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31978"/>
    <w:pPr>
      <w:spacing w:after="100"/>
    </w:pPr>
  </w:style>
  <w:style w:type="paragraph" w:styleId="TDC2">
    <w:name w:val="toc 2"/>
    <w:basedOn w:val="Normal"/>
    <w:next w:val="Normal"/>
    <w:autoRedefine/>
    <w:uiPriority w:val="39"/>
    <w:unhideWhenUsed/>
    <w:rsid w:val="00331978"/>
    <w:pPr>
      <w:spacing w:after="100"/>
      <w:ind w:left="200"/>
    </w:pPr>
  </w:style>
  <w:style w:type="paragraph" w:styleId="TDC3">
    <w:name w:val="toc 3"/>
    <w:basedOn w:val="Normal"/>
    <w:next w:val="Normal"/>
    <w:autoRedefine/>
    <w:uiPriority w:val="39"/>
    <w:unhideWhenUsed/>
    <w:rsid w:val="00331978"/>
    <w:pPr>
      <w:spacing w:after="100"/>
      <w:ind w:left="400"/>
    </w:pPr>
  </w:style>
  <w:style w:type="paragraph" w:styleId="Tabladeilustraciones">
    <w:name w:val="table of figures"/>
    <w:basedOn w:val="Normal"/>
    <w:next w:val="Normal"/>
    <w:uiPriority w:val="99"/>
    <w:unhideWhenUsed/>
    <w:rsid w:val="00331978"/>
  </w:style>
  <w:style w:type="paragraph" w:styleId="Encabezado">
    <w:name w:val="header"/>
    <w:basedOn w:val="Normal"/>
    <w:link w:val="EncabezadoCar"/>
    <w:uiPriority w:val="99"/>
    <w:unhideWhenUsed/>
    <w:rsid w:val="00331978"/>
    <w:pPr>
      <w:tabs>
        <w:tab w:val="center" w:pos="4419"/>
        <w:tab w:val="right" w:pos="8838"/>
      </w:tabs>
    </w:pPr>
  </w:style>
  <w:style w:type="character" w:customStyle="1" w:styleId="EncabezadoCar">
    <w:name w:val="Encabezado Car"/>
    <w:basedOn w:val="Fuentedeprrafopredeter"/>
    <w:link w:val="Encabezado"/>
    <w:uiPriority w:val="99"/>
    <w:rsid w:val="00331978"/>
  </w:style>
  <w:style w:type="paragraph" w:styleId="Piedepgina">
    <w:name w:val="footer"/>
    <w:basedOn w:val="Normal"/>
    <w:link w:val="PiedepginaCar"/>
    <w:uiPriority w:val="99"/>
    <w:unhideWhenUsed/>
    <w:rsid w:val="00331978"/>
    <w:pPr>
      <w:tabs>
        <w:tab w:val="center" w:pos="4419"/>
        <w:tab w:val="right" w:pos="8838"/>
      </w:tabs>
    </w:pPr>
  </w:style>
  <w:style w:type="character" w:customStyle="1" w:styleId="PiedepginaCar">
    <w:name w:val="Pie de página Car"/>
    <w:basedOn w:val="Fuentedeprrafopredeter"/>
    <w:link w:val="Piedepgina"/>
    <w:uiPriority w:val="99"/>
    <w:rsid w:val="00331978"/>
  </w:style>
  <w:style w:type="character" w:styleId="Mencinsinresolver">
    <w:name w:val="Unresolved Mention"/>
    <w:basedOn w:val="Fuentedeprrafopredeter"/>
    <w:uiPriority w:val="99"/>
    <w:semiHidden/>
    <w:unhideWhenUsed/>
    <w:rsid w:val="00E91BD2"/>
    <w:rPr>
      <w:color w:val="605E5C"/>
      <w:shd w:val="clear" w:color="auto" w:fill="E1DFDD"/>
    </w:rPr>
  </w:style>
  <w:style w:type="character" w:styleId="Hipervnculovisitado">
    <w:name w:val="FollowedHyperlink"/>
    <w:basedOn w:val="Fuentedeprrafopredeter"/>
    <w:uiPriority w:val="99"/>
    <w:semiHidden/>
    <w:unhideWhenUsed/>
    <w:rsid w:val="00E91B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36733900/" TargetMode="External"/><Relationship Id="rId13" Type="http://schemas.openxmlformats.org/officeDocument/2006/relationships/hyperlink" Target="https://doi.org/10.3390/su14010572" TargetMode="External"/><Relationship Id="rId18" Type="http://schemas.openxmlformats.org/officeDocument/2006/relationships/hyperlink" Target="https://doi.org/10.1007/s10257-021-00549-w"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3390/su18041929" TargetMode="External"/><Relationship Id="rId7" Type="http://schemas.openxmlformats.org/officeDocument/2006/relationships/image" Target="media/image1.jpeg"/><Relationship Id="rId12" Type="http://schemas.openxmlformats.org/officeDocument/2006/relationships/hyperlink" Target="https://doi.org/10.3390/jrfm13110281" TargetMode="External"/><Relationship Id="rId17" Type="http://schemas.openxmlformats.org/officeDocument/2006/relationships/hyperlink" Target="https://www.apqc.org/process-framework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07/s12599-020-00637-0" TargetMode="External"/><Relationship Id="rId20" Type="http://schemas.openxmlformats.org/officeDocument/2006/relationships/hyperlink" Target="https://doi.org/10.3390/su1302065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u18105131" TargetMode="External"/><Relationship Id="rId24" Type="http://schemas.openxmlformats.org/officeDocument/2006/relationships/hyperlink" Target="https://doi.org/10.6018/analesps.29.3.178511" TargetMode="External"/><Relationship Id="rId5" Type="http://schemas.openxmlformats.org/officeDocument/2006/relationships/footnotes" Target="footnotes.xml"/><Relationship Id="rId15" Type="http://schemas.openxmlformats.org/officeDocument/2006/relationships/hyperlink" Target="https://doi.org/10.1080/0960085X.2020.1755207" TargetMode="External"/><Relationship Id="rId23" Type="http://schemas.openxmlformats.org/officeDocument/2006/relationships/hyperlink" Target="https://arauco.com/en/arauco-continua-consolidando-el-camino-hacia-un-futuro-sustentable/" TargetMode="External"/><Relationship Id="rId28" Type="http://schemas.openxmlformats.org/officeDocument/2006/relationships/theme" Target="theme/theme1.xml"/><Relationship Id="rId10" Type="http://schemas.openxmlformats.org/officeDocument/2006/relationships/hyperlink" Target="https://doi.org/10.3390/jrfm11030035" TargetMode="External"/><Relationship Id="rId19" Type="http://schemas.openxmlformats.org/officeDocument/2006/relationships/hyperlink" Target="https://doi.org/10.3390/su12104145" TargetMode="External"/><Relationship Id="rId4" Type="http://schemas.openxmlformats.org/officeDocument/2006/relationships/webSettings" Target="webSettings.xml"/><Relationship Id="rId9" Type="http://schemas.openxmlformats.org/officeDocument/2006/relationships/hyperlink" Target="https://doi.org/10.3390/jrfm14110554" TargetMode="External"/><Relationship Id="rId14" Type="http://schemas.openxmlformats.org/officeDocument/2006/relationships/hyperlink" Target="https://doi.org/10.3390/info15110724" TargetMode="External"/><Relationship Id="rId22" Type="http://schemas.openxmlformats.org/officeDocument/2006/relationships/hyperlink" Target="https://www.marcachile.cl/en/china-y-estados-unidos-siguen-siendo-los-principales-destinos-de-las-exportaciones-forestales-y-agropecuarias-en-enero-septiembre-de-2024/"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6646</Words>
  <Characters>36558</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Bastian Ignacio Vera Rivera</cp:lastModifiedBy>
  <cp:revision>2</cp:revision>
  <dcterms:created xsi:type="dcterms:W3CDTF">2026-07-04T18:47:00Z</dcterms:created>
  <dcterms:modified xsi:type="dcterms:W3CDTF">2026-07-04T18:47:00Z</dcterms:modified>
</cp:coreProperties>
</file>