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94.0" w:type="dxa"/>
        <w:jc w:val="center"/>
        <w:tblLayout w:type="fixed"/>
        <w:tblLook w:val="0400"/>
      </w:tblPr>
      <w:tblGrid>
        <w:gridCol w:w="6794"/>
        <w:tblGridChange w:id="0">
          <w:tblGrid>
            <w:gridCol w:w="6794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80"/>
                <w:szCs w:val="80"/>
                <w:rtl w:val="0"/>
              </w:rPr>
              <w:t xml:space="preserve">Sprint 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semana (15 - Octubre - 22 Octubre)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Tablero Scrum (Jira)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siguiente tablero muestra las tareas realizadas para el desarrollo back end del proyecto.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Las tareas se han dividido en secciones del sistema, cuales son: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Panel de Administración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Solicitudes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Avisos / Noticias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Perfil de Usuario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Recuperación de Contraseña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12130" cy="1841500"/>
            <wp:effectExtent b="0" l="0" r="0" t="0"/>
            <wp:docPr id="13948197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Se aprecia que en el Sprint se realizaron todas las tareas planificadas, sin aparición de nuevos errores.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eWQWw5fSiH5TwiuinwLYJyYZxQ==">CgMxLjA4AHIhMW1URUtvRVZkN2xCSTR5NWFTb244RWstajNnS3NHbkpk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