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center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Sprint Planning – Sprint Goal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“Entregar una primera versión con el front end funcional, tanto en vistas de usuario cómo de administrador.”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Este objetivo busca validar la utilidad del sistema, generando valor temprano para los interesados.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Historias de usuario seleccionadas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Front end)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840"/>
        <w:gridCol w:w="5400"/>
        <w:gridCol w:w="1395"/>
        <w:gridCol w:w="1770"/>
        <w:tblGridChange w:id="0">
          <w:tblGrid>
            <w:gridCol w:w="840"/>
            <w:gridCol w:w="5400"/>
            <w:gridCol w:w="1395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las solicitudes de los trabajadores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usuarios.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documentos de los usuarios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H009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con credenciales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H017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Quiero que el sistema sea fácil de usar e intuitivo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H018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Quiero revisar métricas en el dashboard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heading=h.f1udwbgmtz1v" w:id="0"/>
      <w:bookmarkEnd w:id="0"/>
      <w:r w:rsidDel="00000000" w:rsidR="00000000" w:rsidRPr="00000000">
        <w:rPr>
          <w:b w:val="1"/>
          <w:rtl w:val="0"/>
        </w:rPr>
        <w:t xml:space="preserve">Tipo de estimación realizada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Para la estimación se utilizó el método probado “Planning Poker”: Cada miembro del equipo elige una carta con un número que representa su estimación del esfuerzo. Luego se discuten las diferencias y se llega a un consenso.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Tareas priorizadas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 H001 (24)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solicitudes pendientes (7)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Filtrado por antigüedad (3)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Asignacion de solicitud (10)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Aprobar / Rechazar solicitud (4)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Para H002 (24)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usuarios (7)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usuarios (5)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usuarios (5)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usuarios (5)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Filtros por nombre (2)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H003 (21)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documentos (5)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Subir documentos a usuarios (7)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documentos de usuarios (5)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Filtrar por usuarios (2)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Filtrar por nombre de documentos (2)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H009 (10)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 sesión con usuario y contraseña (7)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 recuperación de contraseña (3)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H017 (8)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 de paleta de colores (4)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con animaciones (3)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Aprobacion de Product Owner (1)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Para H018 (5)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 panel de dashboard con métricas ficticias (5)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Estimación total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Total de puntos planificados: 92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Riesgo: Posible retraso si el diseño no es aprobado por el Product Owner.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4JE/Lq6XI5NX8r7qtB5ZCuJ9A==">CgMxLjAyDmguZjF1ZHdiZ210ejF2OAByITFhR1gzM0t0LTNzblpxc0FOZlhxN2pMZFlob3VzWWF5Ng==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