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Definition of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código está implementado en el repositorio principal.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Cumple con las convenciones de estilo definidas (HTML5 semántico, CSS limpio, JS estructurado).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hay errores en la consola del navegador.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realizaron pruebas unitarias de los componentes front-end.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validó el diseño responsive en móviles, tablets y escritorio.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probaron los principales navegadores (Chrome, Edge, Firefox).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historia de usuario cumple completamente con los criterios de aceptación definidos en el Product Backlog.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Product Owner revisó y aprobó la funcionalidad.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Entregable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incremento es desplegable en el entorno de pruebas.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 dejan tareas pendientes relacionadas a la historia.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3aBlIQgix8iS/KUyBFG1mUQZA==">CgMxLjA4AHIhMTNmUHNVWDhqd0h0bURhX1JpaFd4RnRyZnJrZEwxV0E5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