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Burndown Chart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–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“Desarrollar un backend completamente funcional que permita el manejo de usuarios, solicitudes, documentos, noticias y eventos y administración, listo para integrarse con el frontend existente.”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del sprint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Esfuerzo total planificado: 186 pts.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Días planificados: 14 días.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Capacidad diaria de entrega: ~13/pts por día.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am3o5k29llfr" w:id="0"/>
      <w:bookmarkEnd w:id="0"/>
      <w:r w:rsidDel="00000000" w:rsidR="00000000" w:rsidRPr="00000000">
        <w:rPr>
          <w:b w:val="1"/>
          <w:rtl w:val="0"/>
        </w:rPr>
        <w:t xml:space="preserve">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17700"/>
            <wp:effectExtent b="0" l="0" r="0" t="0"/>
            <wp:docPr id="139481970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heading=h.9z3j3iapfy6d" w:id="1"/>
      <w:bookmarkEnd w:id="1"/>
      <w:r w:rsidDel="00000000" w:rsidR="00000000" w:rsidRPr="00000000">
        <w:rPr>
          <w:b w:val="1"/>
          <w:rtl w:val="0"/>
        </w:rPr>
        <w:t xml:space="preserve">BurnDown Chart (Tabla)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57879936"/>
        <w:tag w:val="goog_rdk_0"/>
      </w:sdtPr>
      <w:sdtContent>
        <w:tbl>
          <w:tblPr>
            <w:tblStyle w:val="Table2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0"/>
            <w:gridCol w:w="2940"/>
            <w:gridCol w:w="2940"/>
            <w:tblGridChange w:id="0">
              <w:tblGrid>
                <w:gridCol w:w="2940"/>
                <w:gridCol w:w="2940"/>
                <w:gridCol w:w="2940"/>
              </w:tblGrid>
            </w:tblGridChange>
          </w:tblGrid>
          <w:tr>
            <w:trPr>
              <w:cantSplit w:val="0"/>
              <w:trHeight w:val="455.9765625" w:hRule="atLeast"/>
              <w:tblHeader w:val="0"/>
            </w:trPr>
            <w:tc>
              <w:tcPr>
                <w:shd w:fill="4f81bd" w:val="clear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DIA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Trabajo pendiente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Ideal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0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186 pts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186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186 pts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173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2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173 pts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3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168 pts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147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4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168 pts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134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5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146 pts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121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6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146 pts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108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7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140 pts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95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8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140 pts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82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9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120 pts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69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10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114 pts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56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11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110 pts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43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12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110 pts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13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90 pts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17 ptos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14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85 pts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0000" w:val="clear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Dia 15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0000" w:val="clear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Dia 16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0000" w:val="clear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Dia 17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28 pts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0000" w:val="clear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Dia 18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28 pts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b w:val="1"/>
        </w:rPr>
      </w:pPr>
      <w:bookmarkStart w:colFirst="0" w:colLast="0" w:name="_heading=h.58qj1y4667lz" w:id="2"/>
      <w:bookmarkEnd w:id="2"/>
      <w:r w:rsidDel="00000000" w:rsidR="00000000" w:rsidRPr="00000000">
        <w:rPr>
          <w:b w:val="1"/>
          <w:rtl w:val="0"/>
        </w:rPr>
        <w:t xml:space="preserve">Interpretación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equipo comenzó con 186 pts.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mitad del sprint (Dia 9) aún quedaban demasiados puntos (120 pts),causando que el equipo tenga que trabajar más.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Por la sobrecarga de trabajo, el desarrollo se atrasó 4 días.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 realizó una entrega incompleta.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 sección “Auditoría” de administración quedó incompleta, se decidió por ser de baja prioridad.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uumh0YSt4BBYUyWB0jg8NiPqw==">CgMxLjAaHwoBMBIaChgICVIUChJ0YWJsZS5jYnJ5MmMxZ2c1eHAyDmguYW0zbzVrMjlsbGZyMg5oLjl6M2ozaWFwZnk2ZDIOaC41OHFqMXk0NjY3bHo4AHIhMTViR041NHNpRHFpYkg5ZXhuSmlBNDZGeTNlZ05ZbGxh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