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Definition of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(18 Septiembre -   2 Octubre)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Definition of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Desarrollo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El código del Back End cumple completamente con los requerimientos funcionales definidos para el Sprint.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asegura la comunicación fluida entre el Back End y el Front End, mediante pruebas de usabilidad.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Todas las consultas, inserciones y actualizaciones funcionan correctamente y están optimizadas.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 ha verificado la integridad de los datos en las operaciones CRUD.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La conexión con la base de datos (Firebase) está correctamente configurada y documentada.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implementan mecanismos básicos de manejo de errores y excepciones.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Seguridad y 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 implementan mecanismos de autenticación y autorización, según lo definido en los requerimientos.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 validan correctamente las credenciales y roles de usuario.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maneja de forma segura la información sensible (contraseñas, tokens, etc.).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Entrega e integración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El sistema puede ser ejecutado correctamente en el entorno de desarrollo sin errores.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line="240" w:lineRule="auto"/>
        <w:ind w:left="1440" w:hanging="360"/>
      </w:pPr>
      <w:r w:rsidDel="00000000" w:rsidR="00000000" w:rsidRPr="00000000">
        <w:rPr>
          <w:rtl w:val="0"/>
        </w:rPr>
        <w:t xml:space="preserve">El Back End está integrado con el Front End desarrollado en el Sprint 1.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/Mr26JU1aprj09GEe5uyij0j4g==">CgMxLjA4AHIhMWkyRzMzX3Z6eGJGdXRGMHc4MFZuYS05YnRnQmpiMnN4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