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80"/>
        <w:jc w:val="center"/>
      </w:pPr>
      <w:r>
        <w:rPr>
          <w:rFonts w:ascii="Arial" w:hAnsi="Arial"/>
          <w:b/>
          <w:i w:val="0"/>
          <w:color w:val="195C7A"/>
          <w:sz w:val="60"/>
        </w:rPr>
        <w:t>BEOFlow</w:t>
      </w:r>
    </w:p>
    <w:p>
      <w:pPr>
        <w:spacing w:after="200"/>
        <w:jc w:val="center"/>
      </w:pPr>
      <w:r>
        <w:rPr>
          <w:rFonts w:ascii="Arial" w:hAnsi="Arial"/>
          <w:b/>
          <w:i w:val="0"/>
          <w:color w:val="181C20"/>
          <w:sz w:val="40"/>
        </w:rPr>
        <w:t>Acuerdo de Propiedad y Participación</w:t>
      </w:r>
    </w:p>
    <w:p>
      <w:pPr>
        <w:spacing w:after="440"/>
        <w:jc w:val="center"/>
      </w:pPr>
      <w:r>
        <w:rPr>
          <w:rFonts w:ascii="Arial" w:hAnsi="Arial"/>
          <w:b w:val="0"/>
          <w:i w:val="0"/>
          <w:color w:val="5A6068"/>
          <w:sz w:val="23"/>
        </w:rPr>
        <w:t>Documento interno preparado para Bastida Systems LLC</w:t>
      </w:r>
    </w:p>
    <w:tbl>
      <w:tblPr>
        <w:tblW w:type="dxa" w:w="9360"/>
        <w:jc w:val="left"/>
        <w:tblLook w:firstColumn="1" w:firstRow="1" w:lastColumn="0" w:lastRow="0" w:noHBand="0" w:noVBand="1" w:val="04A0"/>
        <w:tblLayout w:type="fixed"/>
        <w:tblBorders>
          <w:top w:val="single" w:sz="4" w:space="0" w:color="C9D7DE"/>
          <w:left w:val="single" w:sz="4" w:space="0" w:color="C9D7DE"/>
          <w:bottom w:val="single" w:sz="4" w:space="0" w:color="C9D7DE"/>
          <w:right w:val="single" w:sz="4" w:space="0" w:color="C9D7DE"/>
          <w:insideH w:val="single" w:sz="4" w:space="0" w:color="C9D7DE"/>
          <w:insideV w:val="single" w:sz="4" w:space="0" w:color="C9D7DE"/>
        </w:tblBorders>
      </w:tblPr>
      <w:tblGrid>
        <w:gridCol w:w="4896"/>
        <w:gridCol w:w="4896"/>
      </w:tblGrid>
      <w:tr>
        <w:tc>
          <w:tcPr>
            <w:tcW w:type="dxa" w:w="2500"/>
            <w:tcMar>
              <w:top w:w="120" w:type="dxa"/>
              <w:start w:w="140" w:type="dxa"/>
              <w:bottom w:w="120" w:type="dxa"/>
              <w:end w:w="140" w:type="dxa"/>
            </w:tcMar>
            <w:vAlign w:val="center"/>
            <w:shd w:fill="F4F8FA"/>
          </w:tcPr>
          <w:p>
            <w:r/>
            <w:r>
              <w:rPr>
                <w:rFonts w:ascii="Arial" w:hAnsi="Arial"/>
                <w:b/>
                <w:color w:val="195C7A"/>
                <w:sz w:val="19"/>
              </w:rPr>
              <w:t>Empresa matriz</w:t>
            </w:r>
          </w:p>
        </w:tc>
        <w:tc>
          <w:tcPr>
            <w:tcW w:type="dxa" w:w="6860"/>
            <w:tcMar>
              <w:top w:w="120" w:type="dxa"/>
              <w:start w:w="140" w:type="dxa"/>
              <w:bottom w:w="120" w:type="dxa"/>
              <w:end w:w="140" w:type="dxa"/>
            </w:tcMar>
            <w:vAlign w:val="center"/>
          </w:tcPr>
          <w:p>
            <w:r/>
            <w:r>
              <w:rPr>
                <w:rFonts w:ascii="Arial" w:hAnsi="Arial"/>
                <w:color w:val="181C20"/>
                <w:sz w:val="19"/>
              </w:rPr>
              <w:t>Bastida Systems LLC</w:t>
            </w:r>
          </w:p>
        </w:tc>
      </w:tr>
      <w:tr>
        <w:tc>
          <w:tcPr>
            <w:tcW w:type="dxa" w:w="2500"/>
            <w:tcMar>
              <w:top w:w="120" w:type="dxa"/>
              <w:start w:w="140" w:type="dxa"/>
              <w:bottom w:w="120" w:type="dxa"/>
              <w:end w:w="140" w:type="dxa"/>
            </w:tcMar>
            <w:vAlign w:val="center"/>
            <w:shd w:fill="F4F8FA"/>
          </w:tcPr>
          <w:p>
            <w:r/>
            <w:r>
              <w:rPr>
                <w:rFonts w:ascii="Arial" w:hAnsi="Arial"/>
                <w:b/>
                <w:color w:val="195C7A"/>
                <w:sz w:val="19"/>
              </w:rPr>
              <w:t>Proyecto</w:t>
            </w:r>
          </w:p>
        </w:tc>
        <w:tc>
          <w:tcPr>
            <w:tcW w:type="dxa" w:w="6860"/>
            <w:tcMar>
              <w:top w:w="120" w:type="dxa"/>
              <w:start w:w="140" w:type="dxa"/>
              <w:bottom w:w="120" w:type="dxa"/>
              <w:end w:w="140" w:type="dxa"/>
            </w:tcMar>
            <w:vAlign w:val="center"/>
          </w:tcPr>
          <w:p>
            <w:r/>
            <w:r>
              <w:rPr>
                <w:rFonts w:ascii="Arial" w:hAnsi="Arial"/>
                <w:color w:val="181C20"/>
                <w:sz w:val="19"/>
              </w:rPr>
              <w:t>BEOFlow</w:t>
            </w:r>
          </w:p>
        </w:tc>
      </w:tr>
      <w:tr>
        <w:tc>
          <w:tcPr>
            <w:tcW w:type="dxa" w:w="2500"/>
            <w:tcMar>
              <w:top w:w="120" w:type="dxa"/>
              <w:start w:w="140" w:type="dxa"/>
              <w:bottom w:w="120" w:type="dxa"/>
              <w:end w:w="140" w:type="dxa"/>
            </w:tcMar>
            <w:vAlign w:val="center"/>
            <w:shd w:fill="F4F8FA"/>
          </w:tcPr>
          <w:p>
            <w:r/>
            <w:r>
              <w:rPr>
                <w:rFonts w:ascii="Arial" w:hAnsi="Arial"/>
                <w:b/>
                <w:color w:val="195C7A"/>
                <w:sz w:val="19"/>
              </w:rPr>
              <w:t>Estado</w:t>
            </w:r>
          </w:p>
        </w:tc>
        <w:tc>
          <w:tcPr>
            <w:tcW w:type="dxa" w:w="6860"/>
            <w:tcMar>
              <w:top w:w="120" w:type="dxa"/>
              <w:start w:w="140" w:type="dxa"/>
              <w:bottom w:w="120" w:type="dxa"/>
              <w:end w:w="140" w:type="dxa"/>
            </w:tcMar>
            <w:vAlign w:val="center"/>
          </w:tcPr>
          <w:p>
            <w:r/>
            <w:r>
              <w:rPr>
                <w:rFonts w:ascii="Arial" w:hAnsi="Arial"/>
                <w:color w:val="181C20"/>
                <w:sz w:val="19"/>
              </w:rPr>
              <w:t>Nevada, Estados Unidos</w:t>
            </w:r>
          </w:p>
        </w:tc>
      </w:tr>
      <w:tr>
        <w:tc>
          <w:tcPr>
            <w:tcW w:type="dxa" w:w="2500"/>
            <w:tcMar>
              <w:top w:w="120" w:type="dxa"/>
              <w:start w:w="140" w:type="dxa"/>
              <w:bottom w:w="120" w:type="dxa"/>
              <w:end w:w="140" w:type="dxa"/>
            </w:tcMar>
            <w:vAlign w:val="center"/>
            <w:shd w:fill="F4F8FA"/>
          </w:tcPr>
          <w:p>
            <w:r/>
            <w:r>
              <w:rPr>
                <w:rFonts w:ascii="Arial" w:hAnsi="Arial"/>
                <w:b/>
                <w:color w:val="195C7A"/>
                <w:sz w:val="19"/>
              </w:rPr>
              <w:t>Partes</w:t>
            </w:r>
          </w:p>
        </w:tc>
        <w:tc>
          <w:tcPr>
            <w:tcW w:type="dxa" w:w="6860"/>
            <w:tcMar>
              <w:top w:w="120" w:type="dxa"/>
              <w:start w:w="140" w:type="dxa"/>
              <w:bottom w:w="120" w:type="dxa"/>
              <w:end w:w="140" w:type="dxa"/>
            </w:tcMar>
            <w:vAlign w:val="center"/>
          </w:tcPr>
          <w:p>
            <w:r/>
            <w:r>
              <w:rPr>
                <w:rFonts w:ascii="Arial" w:hAnsi="Arial"/>
                <w:color w:val="181C20"/>
                <w:sz w:val="19"/>
              </w:rPr>
              <w:t>David Ramirez Bastida; Rodrigo Ramirez Bastida; Bastida Systems LLC</w:t>
            </w:r>
          </w:p>
        </w:tc>
      </w:tr>
      <w:tr>
        <w:tc>
          <w:tcPr>
            <w:tcW w:type="dxa" w:w="2500"/>
            <w:tcMar>
              <w:top w:w="120" w:type="dxa"/>
              <w:start w:w="140" w:type="dxa"/>
              <w:bottom w:w="120" w:type="dxa"/>
              <w:end w:w="140" w:type="dxa"/>
            </w:tcMar>
            <w:vAlign w:val="center"/>
            <w:shd w:fill="F4F8FA"/>
          </w:tcPr>
          <w:p>
            <w:r/>
            <w:r>
              <w:rPr>
                <w:rFonts w:ascii="Arial" w:hAnsi="Arial"/>
                <w:b/>
                <w:color w:val="195C7A"/>
                <w:sz w:val="19"/>
              </w:rPr>
              <w:t>Fecha efectiva</w:t>
            </w:r>
          </w:p>
        </w:tc>
        <w:tc>
          <w:tcPr>
            <w:tcW w:type="dxa" w:w="6860"/>
            <w:tcMar>
              <w:top w:w="120" w:type="dxa"/>
              <w:start w:w="140" w:type="dxa"/>
              <w:bottom w:w="120" w:type="dxa"/>
              <w:end w:w="140" w:type="dxa"/>
            </w:tcMar>
            <w:vAlign w:val="center"/>
          </w:tcPr>
          <w:p>
            <w:r/>
            <w:r>
              <w:rPr>
                <w:rFonts w:ascii="Arial" w:hAnsi="Arial"/>
                <w:color w:val="181C20"/>
                <w:sz w:val="19"/>
              </w:rPr>
              <w:t>______________________________</w:t>
            </w:r>
          </w:p>
        </w:tc>
      </w:tr>
    </w:tbl>
    <w:p>
      <w:pPr>
        <w:spacing w:after="120"/>
      </w:pPr>
    </w:p>
    <w:tbl>
      <w:tblPr>
        <w:tblW w:type="dxa" w:w="9360"/>
        <w:jc w:val="left"/>
        <w:tblLook w:firstColumn="1" w:firstRow="1" w:lastColumn="0" w:lastRow="0" w:noHBand="0" w:noVBand="1" w:val="04A0"/>
        <w:tblLayout w:type="fixed"/>
        <w:tblBorders>
          <w:top w:val="single" w:sz="4" w:space="0" w:color="B7CED8"/>
          <w:left w:val="single" w:sz="4" w:space="0" w:color="B7CED8"/>
          <w:bottom w:val="single" w:sz="4" w:space="0" w:color="B7CED8"/>
          <w:right w:val="single" w:sz="4" w:space="0" w:color="B7CED8"/>
          <w:insideH w:val="single" w:sz="4" w:space="0" w:color="B7CED8"/>
          <w:insideV w:val="single" w:sz="4" w:space="0" w:color="B7CED8"/>
        </w:tblBorders>
      </w:tblPr>
      <w:tblGrid>
        <w:gridCol w:w="9792"/>
      </w:tblGrid>
      <w:tr>
        <w:tc>
          <w:tcPr>
            <w:tcW w:type="dxa" w:w="9792"/>
            <w:vAlign w:val="center"/>
            <w:tcMar>
              <w:top w:w="160" w:type="dxa"/>
              <w:start w:w="180" w:type="dxa"/>
              <w:bottom w:w="160" w:type="dxa"/>
              <w:end w:w="180" w:type="dxa"/>
            </w:tcMar>
            <w:shd w:fill="EAF4F7"/>
          </w:tcPr>
          <w:p>
            <w:pPr>
              <w:spacing w:after="80"/>
            </w:pPr>
            <w:r>
              <w:rPr>
                <w:rFonts w:ascii="Arial" w:hAnsi="Arial"/>
                <w:b/>
                <w:color w:val="195C7A"/>
                <w:sz w:val="21"/>
              </w:rPr>
              <w:t>Aviso importante</w:t>
            </w:r>
          </w:p>
          <w:p>
            <w:pPr>
              <w:spacing w:after="0"/>
            </w:pPr>
            <w:r>
              <w:rPr>
                <w:rFonts w:ascii="Arial" w:hAnsi="Arial"/>
                <w:color w:val="181C20"/>
                <w:sz w:val="19"/>
              </w:rPr>
              <w:t>Esta versión en español es una traducción profesional para revisión interna y revisión por abogado corporativo. No sustituye asesoría legal de un abogado licenciado en Nevada. Si las partes firman una versión en español, deben indicar expresamente si esta versión, la versión en inglés o una versión bilingüe prevalece en caso de conflicto.</w:t>
            </w:r>
          </w:p>
        </w:tc>
      </w:tr>
    </w:tbl>
    <w:p>
      <w:pPr>
        <w:spacing w:after="80"/>
      </w:pPr>
    </w:p>
    <w:p>
      <w:pPr>
        <w:spacing w:after="40"/>
        <w:jc w:val="center"/>
      </w:pPr>
      <w:r>
        <w:rPr>
          <w:rFonts w:ascii="Arial" w:hAnsi="Arial"/>
          <w:b w:val="0"/>
          <w:i w:val="0"/>
          <w:color w:val="5A6068"/>
          <w:sz w:val="19"/>
        </w:rPr>
        <w:t>Preparado: 1 de junio de 2026</w:t>
      </w:r>
    </w:p>
    <w:p>
      <w:pPr>
        <w:spacing w:after="0"/>
        <w:jc w:val="center"/>
      </w:pPr>
      <w:r>
        <w:rPr>
          <w:rFonts w:ascii="Arial" w:hAnsi="Arial"/>
          <w:b w:val="0"/>
          <w:i w:val="0"/>
          <w:color w:val="5A6068"/>
          <w:sz w:val="19"/>
        </w:rPr>
        <w:t>Bastida Systems LLC | Nevada, USA</w:t>
      </w:r>
    </w:p>
    <w:p>
      <w:r>
        <w:br w:type="page"/>
      </w:r>
    </w:p>
    <w:p>
      <w:pPr>
        <w:pStyle w:val="Heading1"/>
        <w:keepNext/>
      </w:pPr>
      <w:r>
        <w:rPr>
          <w:rFonts w:ascii="Arial" w:hAnsi="Arial"/>
          <w:b/>
          <w:color w:val="195C7A"/>
          <w:sz w:val="28"/>
        </w:rPr>
        <w:t>Tabla de Contenido</w:t>
      </w:r>
    </w:p>
    <w:p>
      <w:pPr>
        <w:spacing w:after="50"/>
        <w:ind w:left="144"/>
      </w:pPr>
      <w:r>
        <w:rPr>
          <w:rFonts w:ascii="Arial" w:hAnsi="Arial"/>
          <w:color w:val="181C20"/>
          <w:sz w:val="20"/>
        </w:rPr>
        <w:t>Aviso de traducción y revisión legal</w:t>
      </w:r>
    </w:p>
    <w:p>
      <w:pPr>
        <w:spacing w:after="50"/>
        <w:ind w:left="144"/>
      </w:pPr>
      <w:r>
        <w:rPr>
          <w:rFonts w:ascii="Arial" w:hAnsi="Arial"/>
          <w:color w:val="181C20"/>
          <w:sz w:val="20"/>
        </w:rPr>
        <w:t>Antecedentes</w:t>
      </w:r>
    </w:p>
    <w:p>
      <w:pPr>
        <w:spacing w:after="50"/>
        <w:ind w:left="144"/>
      </w:pPr>
      <w:r>
        <w:rPr>
          <w:rFonts w:ascii="Arial" w:hAnsi="Arial"/>
          <w:color w:val="181C20"/>
          <w:sz w:val="20"/>
        </w:rPr>
        <w:t>1. Objeto del Acuerdo</w:t>
      </w:r>
    </w:p>
    <w:p>
      <w:pPr>
        <w:spacing w:after="50"/>
        <w:ind w:left="144"/>
      </w:pPr>
      <w:r>
        <w:rPr>
          <w:rFonts w:ascii="Arial" w:hAnsi="Arial"/>
          <w:color w:val="181C20"/>
          <w:sz w:val="20"/>
        </w:rPr>
        <w:t>2. Definiciones</w:t>
      </w:r>
    </w:p>
    <w:p>
      <w:pPr>
        <w:spacing w:after="50"/>
        <w:ind w:left="144"/>
      </w:pPr>
      <w:r>
        <w:rPr>
          <w:rFonts w:ascii="Arial" w:hAnsi="Arial"/>
          <w:color w:val="181C20"/>
          <w:sz w:val="20"/>
        </w:rPr>
        <w:t>3. Estructura del Proyecto y Propiedad</w:t>
      </w:r>
    </w:p>
    <w:p>
      <w:pPr>
        <w:spacing w:after="50"/>
        <w:ind w:left="144"/>
      </w:pPr>
      <w:r>
        <w:rPr>
          <w:rFonts w:ascii="Arial" w:hAnsi="Arial"/>
          <w:color w:val="181C20"/>
          <w:sz w:val="20"/>
        </w:rPr>
        <w:t>4. Funciones, Autoridad y Responsabilidades</w:t>
      </w:r>
    </w:p>
    <w:p>
      <w:pPr>
        <w:spacing w:after="50"/>
        <w:ind w:left="144"/>
      </w:pPr>
      <w:r>
        <w:rPr>
          <w:rFonts w:ascii="Arial" w:hAnsi="Arial"/>
          <w:color w:val="181C20"/>
          <w:sz w:val="20"/>
        </w:rPr>
        <w:t>5. Participación Económica</w:t>
      </w:r>
    </w:p>
    <w:p>
      <w:pPr>
        <w:spacing w:after="50"/>
        <w:ind w:left="144"/>
      </w:pPr>
      <w:r>
        <w:rPr>
          <w:rFonts w:ascii="Arial" w:hAnsi="Arial"/>
          <w:color w:val="181C20"/>
          <w:sz w:val="20"/>
        </w:rPr>
        <w:t>6. Distribución de Utilidades</w:t>
      </w:r>
    </w:p>
    <w:p>
      <w:pPr>
        <w:spacing w:after="50"/>
        <w:ind w:left="144"/>
      </w:pPr>
      <w:r>
        <w:rPr>
          <w:rFonts w:ascii="Arial" w:hAnsi="Arial"/>
          <w:color w:val="181C20"/>
          <w:sz w:val="20"/>
        </w:rPr>
        <w:t>7. Propiedad Intelectual y Activos del Proyecto</w:t>
      </w:r>
    </w:p>
    <w:p>
      <w:pPr>
        <w:spacing w:after="50"/>
        <w:ind w:left="144"/>
      </w:pPr>
      <w:r>
        <w:rPr>
          <w:rFonts w:ascii="Arial" w:hAnsi="Arial"/>
          <w:color w:val="181C20"/>
          <w:sz w:val="20"/>
        </w:rPr>
        <w:t>8. Confidencialidad</w:t>
      </w:r>
    </w:p>
    <w:p>
      <w:pPr>
        <w:spacing w:after="50"/>
        <w:ind w:left="144"/>
      </w:pPr>
      <w:r>
        <w:rPr>
          <w:rFonts w:ascii="Arial" w:hAnsi="Arial"/>
          <w:color w:val="181C20"/>
          <w:sz w:val="20"/>
        </w:rPr>
        <w:t>9. No Competencia y No Solicitud Razonables</w:t>
      </w:r>
    </w:p>
    <w:p>
      <w:pPr>
        <w:spacing w:after="50"/>
        <w:ind w:left="144"/>
      </w:pPr>
      <w:r>
        <w:rPr>
          <w:rFonts w:ascii="Arial" w:hAnsi="Arial"/>
          <w:color w:val="181C20"/>
          <w:sz w:val="20"/>
        </w:rPr>
        <w:t>10. Venta, Transferencia o Separación de BEOFlow</w:t>
      </w:r>
    </w:p>
    <w:p>
      <w:pPr>
        <w:spacing w:after="50"/>
        <w:ind w:left="144"/>
      </w:pPr>
      <w:r>
        <w:rPr>
          <w:rFonts w:ascii="Arial" w:hAnsi="Arial"/>
          <w:color w:val="181C20"/>
          <w:sz w:val="20"/>
        </w:rPr>
        <w:t>11. Resolución de Controversias</w:t>
      </w:r>
    </w:p>
    <w:p>
      <w:pPr>
        <w:spacing w:after="50"/>
        <w:ind w:left="144"/>
      </w:pPr>
      <w:r>
        <w:rPr>
          <w:rFonts w:ascii="Arial" w:hAnsi="Arial"/>
          <w:color w:val="181C20"/>
          <w:sz w:val="20"/>
        </w:rPr>
        <w:t>12. Ley Aplicable</w:t>
      </w:r>
    </w:p>
    <w:p>
      <w:pPr>
        <w:spacing w:after="50"/>
        <w:ind w:left="144"/>
      </w:pPr>
      <w:r>
        <w:rPr>
          <w:rFonts w:ascii="Arial" w:hAnsi="Arial"/>
          <w:color w:val="181C20"/>
          <w:sz w:val="20"/>
        </w:rPr>
        <w:t>13. Modificaciones por Escrito</w:t>
      </w:r>
    </w:p>
    <w:p>
      <w:pPr>
        <w:spacing w:after="50"/>
        <w:ind w:left="144"/>
      </w:pPr>
      <w:r>
        <w:rPr>
          <w:rFonts w:ascii="Arial" w:hAnsi="Arial"/>
          <w:color w:val="181C20"/>
          <w:sz w:val="20"/>
        </w:rPr>
        <w:t>14. Disposiciones Generales</w:t>
      </w:r>
    </w:p>
    <w:p>
      <w:pPr>
        <w:spacing w:after="50"/>
        <w:ind w:left="144"/>
      </w:pPr>
      <w:r>
        <w:rPr>
          <w:rFonts w:ascii="Arial" w:hAnsi="Arial"/>
          <w:color w:val="181C20"/>
          <w:sz w:val="20"/>
        </w:rPr>
        <w:t>15. Ejecución y Firmas</w:t>
      </w:r>
    </w:p>
    <w:p>
      <w:pPr>
        <w:spacing w:after="50"/>
        <w:ind w:left="144"/>
      </w:pPr>
      <w:r>
        <w:rPr>
          <w:rFonts w:ascii="Arial" w:hAnsi="Arial"/>
          <w:color w:val="181C20"/>
          <w:sz w:val="20"/>
        </w:rPr>
        <w:t>Anexo A. Activos Iniciales del Proyecto</w:t>
      </w:r>
    </w:p>
    <w:p>
      <w:pPr>
        <w:spacing w:after="50"/>
        <w:ind w:left="144"/>
      </w:pPr>
      <w:r>
        <w:rPr>
          <w:rFonts w:ascii="Arial" w:hAnsi="Arial"/>
          <w:color w:val="181C20"/>
          <w:sz w:val="20"/>
        </w:rPr>
        <w:t>Anexo B. Notas de Redacción y Referencias de Fuente</w:t>
      </w:r>
    </w:p>
    <w:p>
      <w:r>
        <w:br w:type="page"/>
      </w:r>
    </w:p>
    <w:p>
      <w:pPr>
        <w:pStyle w:val="Heading1"/>
        <w:keepNext/>
      </w:pPr>
      <w:r>
        <w:rPr>
          <w:rFonts w:ascii="Arial" w:hAnsi="Arial"/>
          <w:b/>
          <w:color w:val="195C7A"/>
          <w:sz w:val="28"/>
        </w:rPr>
        <w:t>Aviso de Traducción y Revisión Legal</w:t>
      </w:r>
    </w:p>
    <w:p>
      <w:pPr>
        <w:spacing w:line="259" w:lineRule="auto" w:after="120"/>
      </w:pPr>
      <w:r>
        <w:rPr>
          <w:rFonts w:ascii="Arial" w:hAnsi="Arial"/>
          <w:color w:val="181C20"/>
          <w:sz w:val="21"/>
        </w:rPr>
        <w:t>El presente documento, titulado "Acuerdo de Propiedad y Participación de BEOFlow", ha sido preparado en español para facilitar la revisión interna de Bastida Systems LLC y de las partes involucradas. El documento refleja los términos comerciales proporcionados por David Ramirez Bastida y Rodrigo Ramirez Bastida y está redactado con formato corporativo para revisión por abogado.</w:t>
      </w:r>
    </w:p>
    <w:p>
      <w:pPr>
        <w:spacing w:line="259" w:lineRule="auto" w:after="120"/>
      </w:pPr>
      <w:r>
        <w:rPr>
          <w:rFonts w:ascii="Arial" w:hAnsi="Arial"/>
          <w:color w:val="181C20"/>
          <w:sz w:val="21"/>
        </w:rPr>
        <w:t>Debido a que Bastida Systems LLC es una compañía constituida en el Estado de Nevada, Estados Unidos, este acuerdo debe ser revisado y, en su caso, adaptado por un abogado corporativo licenciado en Nevada antes de su firma o uso operativo. Las partes deberán confirmar si este documento crea derechos contractuales vinculantes o si opera únicamente como una traducción de referencia de la versión en inglés.</w:t>
      </w:r>
    </w:p>
    <w:p>
      <w:pPr>
        <w:pStyle w:val="Heading1"/>
        <w:keepNext/>
      </w:pPr>
      <w:r>
        <w:rPr>
          <w:rFonts w:ascii="Arial" w:hAnsi="Arial"/>
          <w:b/>
          <w:color w:val="195C7A"/>
          <w:sz w:val="28"/>
        </w:rPr>
        <w:t>Antecedentes y Recitales</w:t>
      </w:r>
    </w:p>
    <w:p>
      <w:pPr>
        <w:pStyle w:val="ListBullet"/>
        <w:spacing w:after="100"/>
        <w:ind w:left="720" w:hanging="360"/>
      </w:pPr>
      <w:r>
        <w:rPr>
          <w:rFonts w:ascii="Arial" w:hAnsi="Arial"/>
          <w:color w:val="181C20"/>
          <w:sz w:val="21"/>
        </w:rPr>
        <w:t>Bastida Systems LLC es una compañía de responsabilidad limitada de Nevada enfocada en el desarrollo de soluciones tecnológicas para operaciones empresariales.</w:t>
      </w:r>
    </w:p>
    <w:p>
      <w:pPr>
        <w:pStyle w:val="ListBullet"/>
        <w:spacing w:after="100"/>
        <w:ind w:left="720" w:hanging="360"/>
      </w:pPr>
      <w:r>
        <w:rPr>
          <w:rFonts w:ascii="Arial" w:hAnsi="Arial"/>
          <w:color w:val="181C20"/>
          <w:sz w:val="21"/>
        </w:rPr>
        <w:t>BEOFlow fue creado y desarrollado dentro del ecosistema de Bastida Systems LLC, incluyendo trabajo de conceptualización, diseño de experiencia de usuario, marca, estrategia e infraestructura tecnológica.</w:t>
      </w:r>
    </w:p>
    <w:p>
      <w:pPr>
        <w:pStyle w:val="ListBullet"/>
        <w:spacing w:after="100"/>
        <w:ind w:left="720" w:hanging="360"/>
      </w:pPr>
      <w:r>
        <w:rPr>
          <w:rFonts w:ascii="Arial" w:hAnsi="Arial"/>
          <w:color w:val="181C20"/>
          <w:sz w:val="21"/>
        </w:rPr>
        <w:t>David Ramirez Bastida es fundador de Bastida Systems LLC y ha contribuido a BEOFlow mediante conceptualización, diseño UX/UI, marca, desarrollo estratégico e infraestructura tecnológica.</w:t>
      </w:r>
    </w:p>
    <w:p>
      <w:pPr>
        <w:pStyle w:val="ListBullet"/>
        <w:spacing w:after="100"/>
        <w:ind w:left="720" w:hanging="360"/>
      </w:pPr>
      <w:r>
        <w:rPr>
          <w:rFonts w:ascii="Arial" w:hAnsi="Arial"/>
          <w:color w:val="181C20"/>
          <w:sz w:val="21"/>
        </w:rPr>
        <w:t>Rodrigo Ramirez Bastida ha asumido un rol operativo central en BEOFlow y será responsable de dirigir su operación diaria, desarrollo de producto, clientes y crecimiento.</w:t>
      </w:r>
    </w:p>
    <w:p>
      <w:pPr>
        <w:pStyle w:val="ListBullet"/>
        <w:spacing w:after="100"/>
        <w:ind w:left="720" w:hanging="360"/>
      </w:pPr>
      <w:r>
        <w:rPr>
          <w:rFonts w:ascii="Arial" w:hAnsi="Arial"/>
          <w:color w:val="181C20"/>
          <w:sz w:val="21"/>
        </w:rPr>
        <w:t>Las partes desean documentar por escrito la estructura de propiedad operativa, responsabilidades, participación económica, administración de activos y reglas para una venta o transferencia futura de BEOFlow.</w:t>
      </w:r>
    </w:p>
    <w:p>
      <w:pPr>
        <w:pStyle w:val="Heading1"/>
        <w:keepNext/>
      </w:pPr>
      <w:r>
        <w:rPr>
          <w:rFonts w:ascii="Arial" w:hAnsi="Arial"/>
          <w:b/>
          <w:color w:val="195C7A"/>
          <w:sz w:val="28"/>
        </w:rPr>
        <w:t>1. Objeto del Acuerdo</w:t>
      </w:r>
    </w:p>
    <w:p>
      <w:pPr>
        <w:spacing w:line="259" w:lineRule="auto" w:after="120"/>
      </w:pPr>
      <w:r>
        <w:rPr>
          <w:rFonts w:ascii="Arial" w:hAnsi="Arial"/>
          <w:color w:val="181C20"/>
          <w:sz w:val="21"/>
        </w:rPr>
        <w:t>El objeto de este Acuerdo es formalizar la estructura interna de propiedad operativa, administración, responsabilidades y participación económica relacionada con el proyecto BEOFlow dentro del ecosistema de Bastida Systems LLC.</w:t>
      </w:r>
    </w:p>
    <w:p>
      <w:pPr>
        <w:spacing w:line="259" w:lineRule="auto" w:after="120"/>
      </w:pPr>
      <w:r>
        <w:rPr>
          <w:rFonts w:ascii="Arial" w:hAnsi="Arial"/>
          <w:color w:val="181C20"/>
          <w:sz w:val="21"/>
        </w:rPr>
        <w:t>Este Acuerdo no pretende modificar los artículos de organización, operating agreement, registros societarios, ni la estructura de membresía formal de Bastida Systems LLC, salvo que dichas modificaciones sean aprobadas y documentadas por separado de conformidad con la ley aplicable y los documentos de gobierno corporativo de la compañía.</w:t>
      </w:r>
    </w:p>
    <w:p>
      <w:pPr>
        <w:pStyle w:val="Heading1"/>
        <w:keepNext/>
      </w:pPr>
      <w:r>
        <w:rPr>
          <w:rFonts w:ascii="Arial" w:hAnsi="Arial"/>
          <w:b/>
          <w:color w:val="195C7A"/>
          <w:sz w:val="28"/>
        </w:rPr>
        <w:t>2. Definiciones</w:t>
      </w:r>
    </w:p>
    <w:tbl>
      <w:tblPr>
        <w:tblW w:type="dxa" w:w="9360"/>
        <w:jc w:val="left"/>
        <w:tblLook w:firstColumn="1" w:firstRow="1" w:lastColumn="0" w:lastRow="0" w:noHBand="0" w:noVBand="1" w:val="04A0"/>
        <w:tblLayout w:type="fixed"/>
        <w:tblBorders>
          <w:top w:val="single" w:sz="4" w:space="0" w:color="C9D7DE"/>
          <w:left w:val="single" w:sz="4" w:space="0" w:color="C9D7DE"/>
          <w:bottom w:val="single" w:sz="4" w:space="0" w:color="C9D7DE"/>
          <w:right w:val="single" w:sz="4" w:space="0" w:color="C9D7DE"/>
          <w:insideH w:val="single" w:sz="4" w:space="0" w:color="C9D7DE"/>
          <w:insideV w:val="single" w:sz="4" w:space="0" w:color="C9D7DE"/>
        </w:tblBorders>
      </w:tblPr>
      <w:tblGrid>
        <w:gridCol w:w="4896"/>
        <w:gridCol w:w="4896"/>
      </w:tblGrid>
      <w:tr>
        <w:tc>
          <w:tcPr>
            <w:tcW w:type="dxa" w:w="2350"/>
            <w:shd w:fill="F4F8FA"/>
            <w:tcMar>
              <w:top w:w="120" w:type="dxa"/>
              <w:start w:w="140" w:type="dxa"/>
              <w:bottom w:w="120" w:type="dxa"/>
              <w:end w:w="140" w:type="dxa"/>
            </w:tcMar>
          </w:tcPr>
          <w:p>
            <w:r>
              <w:rPr>
                <w:rFonts w:ascii="Arial" w:hAnsi="Arial"/>
                <w:b/>
                <w:color w:val="195C7A"/>
                <w:sz w:val="19"/>
              </w:rPr>
              <w:t>Término</w:t>
            </w:r>
          </w:p>
        </w:tc>
        <w:tc>
          <w:tcPr>
            <w:tcW w:type="dxa" w:w="7010"/>
            <w:shd w:fill="F4F8FA"/>
            <w:tcMar>
              <w:top w:w="120" w:type="dxa"/>
              <w:start w:w="140" w:type="dxa"/>
              <w:bottom w:w="120" w:type="dxa"/>
              <w:end w:w="140" w:type="dxa"/>
            </w:tcMar>
          </w:tcPr>
          <w:p>
            <w:r>
              <w:rPr>
                <w:rFonts w:ascii="Arial" w:hAnsi="Arial"/>
                <w:b/>
                <w:color w:val="195C7A"/>
                <w:sz w:val="19"/>
              </w:rPr>
              <w:t>Definición</w:t>
            </w:r>
          </w:p>
        </w:tc>
      </w:tr>
      <w:tr>
        <w:tc>
          <w:tcPr>
            <w:tcW w:type="dxa" w:w="2350"/>
            <w:tcMar>
              <w:top w:w="120" w:type="dxa"/>
              <w:start w:w="140" w:type="dxa"/>
              <w:bottom w:w="120" w:type="dxa"/>
              <w:end w:w="140" w:type="dxa"/>
            </w:tcMar>
            <w:vAlign w:val="top"/>
          </w:tcPr>
          <w:p>
            <w:r/>
            <w:r>
              <w:rPr>
                <w:rFonts w:ascii="Arial" w:hAnsi="Arial"/>
                <w:b/>
                <w:color w:val="181C20"/>
                <w:sz w:val="19"/>
              </w:rPr>
              <w:t>Acuerdo</w:t>
            </w:r>
          </w:p>
        </w:tc>
        <w:tc>
          <w:tcPr>
            <w:tcW w:type="dxa" w:w="7010"/>
            <w:tcMar>
              <w:top w:w="120" w:type="dxa"/>
              <w:start w:w="140" w:type="dxa"/>
              <w:bottom w:w="120" w:type="dxa"/>
              <w:end w:w="140" w:type="dxa"/>
            </w:tcMar>
            <w:vAlign w:val="top"/>
          </w:tcPr>
          <w:p>
            <w:r/>
            <w:r>
              <w:rPr>
                <w:rFonts w:ascii="Arial" w:hAnsi="Arial"/>
                <w:color w:val="181C20"/>
                <w:sz w:val="19"/>
              </w:rPr>
              <w:t>El presente Acuerdo de Propiedad y Participación de BEOFlow, incluyendo sus anexos y modificaciones escritas.</w:t>
            </w:r>
          </w:p>
        </w:tc>
      </w:tr>
      <w:tr>
        <w:tc>
          <w:tcPr>
            <w:tcW w:type="dxa" w:w="2350"/>
            <w:tcMar>
              <w:top w:w="120" w:type="dxa"/>
              <w:start w:w="140" w:type="dxa"/>
              <w:bottom w:w="120" w:type="dxa"/>
              <w:end w:w="140" w:type="dxa"/>
            </w:tcMar>
            <w:vAlign w:val="top"/>
          </w:tcPr>
          <w:p>
            <w:r/>
            <w:r>
              <w:rPr>
                <w:rFonts w:ascii="Arial" w:hAnsi="Arial"/>
                <w:b/>
                <w:color w:val="181C20"/>
                <w:sz w:val="19"/>
              </w:rPr>
              <w:t>Bastida Systems</w:t>
            </w:r>
          </w:p>
        </w:tc>
        <w:tc>
          <w:tcPr>
            <w:tcW w:type="dxa" w:w="7010"/>
            <w:tcMar>
              <w:top w:w="120" w:type="dxa"/>
              <w:start w:w="140" w:type="dxa"/>
              <w:bottom w:w="120" w:type="dxa"/>
              <w:end w:w="140" w:type="dxa"/>
            </w:tcMar>
            <w:vAlign w:val="top"/>
          </w:tcPr>
          <w:p>
            <w:r/>
            <w:r>
              <w:rPr>
                <w:rFonts w:ascii="Arial" w:hAnsi="Arial"/>
                <w:color w:val="181C20"/>
                <w:sz w:val="19"/>
              </w:rPr>
              <w:t>Bastida Systems LLC, una compañía de responsabilidad limitada organizada bajo las leyes del Estado de Nevada.</w:t>
            </w:r>
          </w:p>
        </w:tc>
      </w:tr>
      <w:tr>
        <w:tc>
          <w:tcPr>
            <w:tcW w:type="dxa" w:w="2350"/>
            <w:tcMar>
              <w:top w:w="120" w:type="dxa"/>
              <w:start w:w="140" w:type="dxa"/>
              <w:bottom w:w="120" w:type="dxa"/>
              <w:end w:w="140" w:type="dxa"/>
            </w:tcMar>
            <w:vAlign w:val="top"/>
          </w:tcPr>
          <w:p>
            <w:r/>
            <w:r>
              <w:rPr>
                <w:rFonts w:ascii="Arial" w:hAnsi="Arial"/>
                <w:b/>
                <w:color w:val="181C20"/>
                <w:sz w:val="19"/>
              </w:rPr>
              <w:t>BEOFlow</w:t>
            </w:r>
          </w:p>
        </w:tc>
        <w:tc>
          <w:tcPr>
            <w:tcW w:type="dxa" w:w="7010"/>
            <w:tcMar>
              <w:top w:w="120" w:type="dxa"/>
              <w:start w:w="140" w:type="dxa"/>
              <w:bottom w:w="120" w:type="dxa"/>
              <w:end w:w="140" w:type="dxa"/>
            </w:tcMar>
            <w:vAlign w:val="top"/>
          </w:tcPr>
          <w:p>
            <w:r/>
            <w:r>
              <w:rPr>
                <w:rFonts w:ascii="Arial" w:hAnsi="Arial"/>
                <w:color w:val="181C20"/>
                <w:sz w:val="19"/>
              </w:rPr>
              <w:t>El proyecto, producto, plataforma, marca, software, documentación, activos y oportunidad comercial conocidos como BEOFlow.</w:t>
            </w:r>
          </w:p>
        </w:tc>
      </w:tr>
      <w:tr>
        <w:tc>
          <w:tcPr>
            <w:tcW w:type="dxa" w:w="2350"/>
            <w:tcMar>
              <w:top w:w="120" w:type="dxa"/>
              <w:start w:w="140" w:type="dxa"/>
              <w:bottom w:w="120" w:type="dxa"/>
              <w:end w:w="140" w:type="dxa"/>
            </w:tcMar>
            <w:vAlign w:val="top"/>
          </w:tcPr>
          <w:p>
            <w:r/>
            <w:r>
              <w:rPr>
                <w:rFonts w:ascii="Arial" w:hAnsi="Arial"/>
                <w:b/>
                <w:color w:val="181C20"/>
                <w:sz w:val="19"/>
              </w:rPr>
              <w:t>Participación Económica</w:t>
            </w:r>
          </w:p>
        </w:tc>
        <w:tc>
          <w:tcPr>
            <w:tcW w:type="dxa" w:w="7010"/>
            <w:tcMar>
              <w:top w:w="120" w:type="dxa"/>
              <w:start w:w="140" w:type="dxa"/>
              <w:bottom w:w="120" w:type="dxa"/>
              <w:end w:w="140" w:type="dxa"/>
            </w:tcMar>
            <w:vAlign w:val="top"/>
          </w:tcPr>
          <w:p>
            <w:r/>
            <w:r>
              <w:rPr>
                <w:rFonts w:ascii="Arial" w:hAnsi="Arial"/>
                <w:color w:val="181C20"/>
                <w:sz w:val="19"/>
              </w:rPr>
              <w:t>El derecho contractual interno de una parte a recibir una porción definida de utilidades, distribuciones o beneficios netos derivados de BEOFlow, sin que ello necesariamente constituya membresía societaria en Bastida Systems LLC.</w:t>
            </w:r>
          </w:p>
        </w:tc>
      </w:tr>
      <w:tr>
        <w:tc>
          <w:tcPr>
            <w:tcW w:type="dxa" w:w="2350"/>
            <w:tcMar>
              <w:top w:w="120" w:type="dxa"/>
              <w:start w:w="140" w:type="dxa"/>
              <w:bottom w:w="120" w:type="dxa"/>
              <w:end w:w="140" w:type="dxa"/>
            </w:tcMar>
            <w:vAlign w:val="top"/>
          </w:tcPr>
          <w:p>
            <w:r/>
            <w:r>
              <w:rPr>
                <w:rFonts w:ascii="Arial" w:hAnsi="Arial"/>
                <w:b/>
                <w:color w:val="181C20"/>
                <w:sz w:val="19"/>
              </w:rPr>
              <w:t>Beneficios Netos</w:t>
            </w:r>
          </w:p>
        </w:tc>
        <w:tc>
          <w:tcPr>
            <w:tcW w:type="dxa" w:w="7010"/>
            <w:tcMar>
              <w:top w:w="120" w:type="dxa"/>
              <w:start w:w="140" w:type="dxa"/>
              <w:bottom w:w="120" w:type="dxa"/>
              <w:end w:w="140" w:type="dxa"/>
            </w:tcMar>
            <w:vAlign w:val="top"/>
          </w:tcPr>
          <w:p>
            <w:r/>
            <w:r>
              <w:rPr>
                <w:rFonts w:ascii="Arial" w:hAnsi="Arial"/>
                <w:color w:val="181C20"/>
                <w:sz w:val="19"/>
              </w:rPr>
              <w:t>Ingresos, utilidades o beneficios disponibles después de deducir costos directos, gastos razonables, impuestos aplicables, reembolsos, pasivos, reservas aprobadas y otros ajustes documentados de buena fe.</w:t>
            </w:r>
          </w:p>
        </w:tc>
      </w:tr>
      <w:tr>
        <w:tc>
          <w:tcPr>
            <w:tcW w:type="dxa" w:w="2350"/>
            <w:tcMar>
              <w:top w:w="120" w:type="dxa"/>
              <w:start w:w="140" w:type="dxa"/>
              <w:bottom w:w="120" w:type="dxa"/>
              <w:end w:w="140" w:type="dxa"/>
            </w:tcMar>
            <w:vAlign w:val="top"/>
          </w:tcPr>
          <w:p>
            <w:r/>
            <w:r>
              <w:rPr>
                <w:rFonts w:ascii="Arial" w:hAnsi="Arial"/>
                <w:b/>
                <w:color w:val="181C20"/>
                <w:sz w:val="19"/>
              </w:rPr>
              <w:t>Activos del Proyecto</w:t>
            </w:r>
          </w:p>
        </w:tc>
        <w:tc>
          <w:tcPr>
            <w:tcW w:type="dxa" w:w="7010"/>
            <w:tcMar>
              <w:top w:w="120" w:type="dxa"/>
              <w:start w:w="140" w:type="dxa"/>
              <w:bottom w:w="120" w:type="dxa"/>
              <w:end w:w="140" w:type="dxa"/>
            </w:tcMar>
            <w:vAlign w:val="top"/>
          </w:tcPr>
          <w:p>
            <w:r/>
            <w:r>
              <w:rPr>
                <w:rFonts w:ascii="Arial" w:hAnsi="Arial"/>
                <w:color w:val="181C20"/>
                <w:sz w:val="19"/>
              </w:rPr>
              <w:t>Todo nombre comercial, marca, diseño, software, código, documentación, materiales, datos, procesos, cuentas, dominios, repositorios y activos relacionados con BEOFlow creados hasta la fecha o desarrollados dentro de Bastida Systems.</w:t>
            </w:r>
          </w:p>
        </w:tc>
      </w:tr>
    </w:tbl>
    <w:p>
      <w:pPr>
        <w:pStyle w:val="Heading1"/>
        <w:keepNext/>
      </w:pPr>
      <w:r>
        <w:rPr>
          <w:rFonts w:ascii="Arial" w:hAnsi="Arial"/>
          <w:b/>
          <w:color w:val="195C7A"/>
          <w:sz w:val="28"/>
        </w:rPr>
        <w:t>3. Estructura del Proyecto y Propiedad</w:t>
      </w:r>
    </w:p>
    <w:p>
      <w:pPr>
        <w:spacing w:line="259" w:lineRule="auto" w:after="120"/>
      </w:pPr>
      <w:r>
        <w:rPr>
          <w:rFonts w:ascii="Arial" w:hAnsi="Arial"/>
          <w:color w:val="181C20"/>
          <w:sz w:val="21"/>
        </w:rPr>
        <w:t>Las partes acuerdan que Bastida Systems LLC es la empresa matriz bajo cuyo ecosistema se originó BEOFlow.</w:t>
      </w:r>
    </w:p>
    <w:p>
      <w:pPr>
        <w:spacing w:line="259" w:lineRule="auto" w:after="120"/>
      </w:pPr>
      <w:r>
        <w:rPr>
          <w:rFonts w:ascii="Arial" w:hAnsi="Arial"/>
          <w:color w:val="181C20"/>
          <w:sz w:val="21"/>
        </w:rPr>
        <w:t>Rodrigo Ramirez Bastida será reconocido como propietario operativo y director principal de BEOFlow, con autoridad para dirigir operaciones diarias, desarrollo de producto, clientes, ventas, implementación, soporte y crecimiento, sujeto a este Acuerdo y a cualquier requisito legal o societario aplicable.</w:t>
      </w:r>
    </w:p>
    <w:p>
      <w:pPr>
        <w:spacing w:line="259" w:lineRule="auto" w:after="120"/>
      </w:pPr>
      <w:r>
        <w:rPr>
          <w:rFonts w:ascii="Arial" w:hAnsi="Arial"/>
          <w:color w:val="181C20"/>
          <w:sz w:val="21"/>
        </w:rPr>
        <w:t>David Ramirez Bastida conservará de manera permanente una participación económica del diez por ciento (10%) en BEOFlow. La participación de David reconoce sus aportaciones de conceptualización, diseño UX/UI, marca, desarrollo estratégico e infraestructura tecnológica.</w:t>
      </w:r>
    </w:p>
    <w:p>
      <w:pPr>
        <w:spacing w:line="259" w:lineRule="auto" w:after="120"/>
      </w:pPr>
      <w:r>
        <w:rPr>
          <w:rFonts w:ascii="Arial" w:hAnsi="Arial"/>
          <w:color w:val="181C20"/>
          <w:sz w:val="21"/>
        </w:rPr>
        <w:t>Salvo acuerdo escrito firmado por David y Rodrigo, la participación económica restante del noventa por ciento (90%) será atribuida al rol operativo de Rodrigo en BEOFlow. Esta asignación económica no deberá interpretarse por sí sola como una transferencia automática de membresía, unidades o intereses societarios de Bastida Systems LLC.</w:t>
      </w:r>
    </w:p>
    <w:p>
      <w:pPr>
        <w:pStyle w:val="Heading1"/>
        <w:keepNext/>
      </w:pPr>
      <w:r>
        <w:rPr>
          <w:rFonts w:ascii="Arial" w:hAnsi="Arial"/>
          <w:b/>
          <w:color w:val="195C7A"/>
          <w:sz w:val="28"/>
        </w:rPr>
        <w:t>4. Funciones, Autoridad y Responsabilidades</w:t>
      </w:r>
    </w:p>
    <w:p>
      <w:pPr>
        <w:pStyle w:val="Heading2"/>
        <w:keepNext/>
      </w:pPr>
      <w:r>
        <w:rPr>
          <w:rFonts w:ascii="Arial" w:hAnsi="Arial"/>
          <w:b/>
          <w:color w:val="181C20"/>
          <w:sz w:val="24"/>
        </w:rPr>
        <w:t>4.1 Rodrigo Ramirez Bastida</w:t>
      </w:r>
    </w:p>
    <w:p>
      <w:pPr>
        <w:pStyle w:val="ListBullet"/>
        <w:spacing w:after="100"/>
        <w:ind w:left="720" w:hanging="360"/>
      </w:pPr>
      <w:r>
        <w:rPr>
          <w:rFonts w:ascii="Arial" w:hAnsi="Arial"/>
          <w:color w:val="181C20"/>
          <w:sz w:val="21"/>
        </w:rPr>
        <w:t>Dirigir las operaciones diarias de BEOFlow.</w:t>
      </w:r>
    </w:p>
    <w:p>
      <w:pPr>
        <w:pStyle w:val="ListBullet"/>
        <w:spacing w:after="100"/>
        <w:ind w:left="720" w:hanging="360"/>
      </w:pPr>
      <w:r>
        <w:rPr>
          <w:rFonts w:ascii="Arial" w:hAnsi="Arial"/>
          <w:color w:val="181C20"/>
          <w:sz w:val="21"/>
        </w:rPr>
        <w:t>Supervisar desarrollo, prioridades de producto, clientes, ventas, implementación y soporte.</w:t>
      </w:r>
    </w:p>
    <w:p>
      <w:pPr>
        <w:pStyle w:val="ListBullet"/>
        <w:spacing w:after="100"/>
        <w:ind w:left="720" w:hanging="360"/>
      </w:pPr>
      <w:r>
        <w:rPr>
          <w:rFonts w:ascii="Arial" w:hAnsi="Arial"/>
          <w:color w:val="181C20"/>
          <w:sz w:val="21"/>
        </w:rPr>
        <w:t>Gestionar relaciones comerciales, pilotos, contratos de clientes y crecimiento del proyecto.</w:t>
      </w:r>
    </w:p>
    <w:p>
      <w:pPr>
        <w:pStyle w:val="ListBullet"/>
        <w:spacing w:after="100"/>
        <w:ind w:left="720" w:hanging="360"/>
      </w:pPr>
      <w:r>
        <w:rPr>
          <w:rFonts w:ascii="Arial" w:hAnsi="Arial"/>
          <w:color w:val="181C20"/>
          <w:sz w:val="21"/>
        </w:rPr>
        <w:t>Mantener registros operativos, financieros y de desempeño de BEOFlow de forma razonable y verificable.</w:t>
      </w:r>
    </w:p>
    <w:p>
      <w:pPr>
        <w:pStyle w:val="Heading2"/>
        <w:keepNext/>
      </w:pPr>
      <w:r>
        <w:rPr>
          <w:rFonts w:ascii="Arial" w:hAnsi="Arial"/>
          <w:b/>
          <w:color w:val="181C20"/>
          <w:sz w:val="24"/>
        </w:rPr>
        <w:t>4.2 David Ramirez Bastida</w:t>
      </w:r>
    </w:p>
    <w:p>
      <w:pPr>
        <w:pStyle w:val="ListBullet"/>
        <w:spacing w:after="100"/>
        <w:ind w:left="720" w:hanging="360"/>
      </w:pPr>
      <w:r>
        <w:rPr>
          <w:rFonts w:ascii="Arial" w:hAnsi="Arial"/>
          <w:color w:val="181C20"/>
          <w:sz w:val="21"/>
        </w:rPr>
        <w:t>Participar como diseñador, asesor tecnológico y consultor estratégico.</w:t>
      </w:r>
    </w:p>
    <w:p>
      <w:pPr>
        <w:pStyle w:val="ListBullet"/>
        <w:spacing w:after="100"/>
        <w:ind w:left="720" w:hanging="360"/>
      </w:pPr>
      <w:r>
        <w:rPr>
          <w:rFonts w:ascii="Arial" w:hAnsi="Arial"/>
          <w:color w:val="181C20"/>
          <w:sz w:val="21"/>
        </w:rPr>
        <w:t>Contribuir en UX/UI, marca, arquitectura tecnológica, estrategia de producto y dirección visual cuando sea solicitado o acordado.</w:t>
      </w:r>
    </w:p>
    <w:p>
      <w:pPr>
        <w:pStyle w:val="ListBullet"/>
        <w:spacing w:after="100"/>
        <w:ind w:left="720" w:hanging="360"/>
      </w:pPr>
      <w:r>
        <w:rPr>
          <w:rFonts w:ascii="Arial" w:hAnsi="Arial"/>
          <w:color w:val="181C20"/>
          <w:sz w:val="21"/>
        </w:rPr>
        <w:t>No asumir responsabilidad por la operación diaria, obligaciones con clientes, ventas, soporte, finanzas ordinarias o administración diaria de BEOFlow, salvo acuerdo escrito posterior.</w:t>
      </w:r>
    </w:p>
    <w:p>
      <w:pPr>
        <w:pStyle w:val="Heading2"/>
        <w:keepNext/>
      </w:pPr>
      <w:r>
        <w:rPr>
          <w:rFonts w:ascii="Arial" w:hAnsi="Arial"/>
          <w:b/>
          <w:color w:val="181C20"/>
          <w:sz w:val="24"/>
        </w:rPr>
        <w:t>4.3 Bastida Systems LLC</w:t>
      </w:r>
    </w:p>
    <w:p>
      <w:pPr>
        <w:spacing w:line="259" w:lineRule="auto" w:after="120"/>
      </w:pPr>
      <w:r>
        <w:rPr>
          <w:rFonts w:ascii="Arial" w:hAnsi="Arial"/>
          <w:color w:val="181C20"/>
          <w:sz w:val="21"/>
        </w:rPr>
        <w:t>Bastida Systems LLC podrá administrar activos, cuentas, infraestructura, propiedad intelectual y recursos corporativos relacionados con BEOFlow, siempre de manera consistente con este Acuerdo y con la documentación societaria aplicable.</w:t>
      </w:r>
    </w:p>
    <w:p>
      <w:pPr>
        <w:pStyle w:val="Heading1"/>
        <w:keepNext/>
      </w:pPr>
      <w:r>
        <w:rPr>
          <w:rFonts w:ascii="Arial" w:hAnsi="Arial"/>
          <w:b/>
          <w:color w:val="195C7A"/>
          <w:sz w:val="28"/>
        </w:rPr>
        <w:t>5. Participación Económica</w:t>
      </w:r>
    </w:p>
    <w:p>
      <w:pPr>
        <w:spacing w:line="259" w:lineRule="auto" w:after="120"/>
      </w:pPr>
      <w:r>
        <w:rPr>
          <w:rFonts w:ascii="Arial" w:hAnsi="Arial"/>
          <w:color w:val="181C20"/>
          <w:sz w:val="21"/>
        </w:rPr>
        <w:t>David Ramirez Bastida conservará una participación económica permanente del diez por ciento (10%) en BEOFlow. Dicha participación deberá mantenerse incluso si BEOFlow crece, genera utilidades, obtiene clientes, recibe inversión, se separa como entidad independiente o es vendido parcial o totalmente, salvo acuerdo escrito firmado por ambas partes.</w:t>
      </w:r>
    </w:p>
    <w:p>
      <w:pPr>
        <w:spacing w:line="259" w:lineRule="auto" w:after="120"/>
      </w:pPr>
      <w:r>
        <w:rPr>
          <w:rFonts w:ascii="Arial" w:hAnsi="Arial"/>
          <w:color w:val="181C20"/>
          <w:sz w:val="21"/>
        </w:rPr>
        <w:t>La participación económica de David será aplicable a utilidades, distribuciones, beneficios netos de venta, pagos de liquidación, regalías, ingresos extraordinarios u otra contraprestación económica atribuible a BEOFlow, en la medida en que dichos montos sean distribuibles después de costos, pasivos, impuestos y reservas razonables.</w:t>
      </w:r>
    </w:p>
    <w:p>
      <w:pPr>
        <w:pStyle w:val="Heading1"/>
        <w:keepNext/>
      </w:pPr>
      <w:r>
        <w:rPr>
          <w:rFonts w:ascii="Arial" w:hAnsi="Arial"/>
          <w:b/>
          <w:color w:val="195C7A"/>
          <w:sz w:val="28"/>
        </w:rPr>
        <w:t>6. Distribución de Utilidades</w:t>
      </w:r>
    </w:p>
    <w:p>
      <w:pPr>
        <w:spacing w:line="259" w:lineRule="auto" w:after="120"/>
      </w:pPr>
      <w:r>
        <w:rPr>
          <w:rFonts w:ascii="Arial" w:hAnsi="Arial"/>
          <w:color w:val="181C20"/>
          <w:sz w:val="21"/>
        </w:rPr>
        <w:t>Las utilidades distribuibles de BEOFlow se calcularán de buena fe con base en libros y registros razonables. Antes de cualquier distribución, podrán deducirse gastos directos del proyecto, costos de operación, impuestos, pasivos, reembolsos, comisiones, pagos a proveedores, costos de infraestructura, reservas razonables y otros gastos documentados.</w:t>
      </w:r>
    </w:p>
    <w:p>
      <w:pPr>
        <w:spacing w:line="259" w:lineRule="auto" w:after="120"/>
      </w:pPr>
      <w:r>
        <w:rPr>
          <w:rFonts w:ascii="Arial" w:hAnsi="Arial"/>
          <w:color w:val="181C20"/>
          <w:sz w:val="21"/>
        </w:rPr>
        <w:t>Después de dichas deducciones, David tendrá derecho a recibir el diez por ciento (10%) de las utilidades distribuibles correspondientes a BEOFlow. Rodrigo o el operador designado mantendrá registros suficientes para respaldar los cálculos de utilidades, gastos y distribuciones.</w:t>
      </w:r>
    </w:p>
    <w:p>
      <w:pPr>
        <w:spacing w:line="259" w:lineRule="auto" w:after="120"/>
      </w:pPr>
      <w:r>
        <w:rPr>
          <w:rFonts w:ascii="Arial" w:hAnsi="Arial"/>
          <w:color w:val="181C20"/>
          <w:sz w:val="21"/>
        </w:rPr>
        <w:t>Ninguna parte estará obligada a realizar distribuciones si ello afecta negativamente la solvencia, operación, obligaciones fiscales, cumplimiento legal o necesidades razonables de reinversión de BEOFlow o Bastida Systems LLC.</w:t>
      </w:r>
    </w:p>
    <w:p>
      <w:pPr>
        <w:pStyle w:val="Heading1"/>
        <w:keepNext/>
      </w:pPr>
      <w:r>
        <w:rPr>
          <w:rFonts w:ascii="Arial" w:hAnsi="Arial"/>
          <w:b/>
          <w:color w:val="195C7A"/>
          <w:sz w:val="28"/>
        </w:rPr>
        <w:t>7. Propiedad Intelectual y Activos del Proyecto</w:t>
      </w:r>
    </w:p>
    <w:p>
      <w:pPr>
        <w:spacing w:line="259" w:lineRule="auto" w:after="120"/>
      </w:pPr>
      <w:r>
        <w:rPr>
          <w:rFonts w:ascii="Arial" w:hAnsi="Arial"/>
          <w:color w:val="181C20"/>
          <w:sz w:val="21"/>
        </w:rPr>
        <w:t>Las partes reconocen que el nombre BEOFlow, diseños, software, documentación, marca, conceptos, materiales y activos desarrollados hasta la fecha fueron creados dentro del ecosistema de Bastida Systems LLC.</w:t>
      </w:r>
    </w:p>
    <w:p>
      <w:pPr>
        <w:spacing w:line="259" w:lineRule="auto" w:after="120"/>
      </w:pPr>
      <w:r>
        <w:rPr>
          <w:rFonts w:ascii="Arial" w:hAnsi="Arial"/>
          <w:color w:val="181C20"/>
          <w:sz w:val="21"/>
        </w:rPr>
        <w:t>Salvo que un abogado corporativo recomiende y documente una transferencia formal distinta, los Activos del Proyecto permanecerán administrados por Bastida Systems LLC para el beneficio de BEOFlow y de las participaciones económicas establecidas en este Acuerdo.</w:t>
      </w:r>
    </w:p>
    <w:p>
      <w:pPr>
        <w:spacing w:line="259" w:lineRule="auto" w:after="120"/>
      </w:pPr>
      <w:r>
        <w:rPr>
          <w:rFonts w:ascii="Arial" w:hAnsi="Arial"/>
          <w:color w:val="181C20"/>
          <w:sz w:val="21"/>
        </w:rPr>
        <w:t>Rodrigo podrá usar, operar, desarrollar, comercializar y mejorar los Activos del Proyecto en relación con BEOFlow. David conservará el reconocimiento de sus contribuciones y su participación económica del 10%. Ninguna parte podrá vender, licenciar de forma exclusiva, gravar, transferir o abandonar materialmente los Activos del Proyecto fuera del curso ordinario sin consentimiento escrito de las partes cuya participación económica se vea afectada.</w:t>
      </w:r>
    </w:p>
    <w:p>
      <w:pPr>
        <w:spacing w:line="259" w:lineRule="auto" w:after="120"/>
      </w:pPr>
      <w:r>
        <w:rPr>
          <w:rFonts w:ascii="Arial" w:hAnsi="Arial"/>
          <w:color w:val="181C20"/>
          <w:sz w:val="21"/>
        </w:rPr>
        <w:t>Cualquier código, diseño, marca, documentación, contenido, flujo, producto derivado, mejora, módulo, integración o material creado para BEOFlow después de la fecha efectiva será considerado parte de los Activos del Proyecto, salvo que exista acuerdo escrito contrario.</w:t>
      </w:r>
    </w:p>
    <w:p>
      <w:pPr>
        <w:pStyle w:val="Heading1"/>
        <w:keepNext/>
      </w:pPr>
      <w:r>
        <w:rPr>
          <w:rFonts w:ascii="Arial" w:hAnsi="Arial"/>
          <w:b/>
          <w:color w:val="195C7A"/>
          <w:sz w:val="28"/>
        </w:rPr>
        <w:t>8. Confidencialidad</w:t>
      </w:r>
    </w:p>
    <w:p>
      <w:pPr>
        <w:spacing w:line="259" w:lineRule="auto" w:after="120"/>
      </w:pPr>
      <w:r>
        <w:rPr>
          <w:rFonts w:ascii="Arial" w:hAnsi="Arial"/>
          <w:color w:val="181C20"/>
          <w:sz w:val="21"/>
        </w:rPr>
        <w:t>Cada parte deberá mantener confidencial toda información no pública relacionada con BEOFlow, Bastida Systems LLC, clientes, precios, diseños, código, estrategias, documentos, finanzas, relaciones comerciales, planes de producto, credenciales, datos y cualquier otra información empresarial sensible.</w:t>
      </w:r>
    </w:p>
    <w:p>
      <w:pPr>
        <w:spacing w:line="259" w:lineRule="auto" w:after="120"/>
      </w:pPr>
      <w:r>
        <w:rPr>
          <w:rFonts w:ascii="Arial" w:hAnsi="Arial"/>
          <w:color w:val="181C20"/>
          <w:sz w:val="21"/>
        </w:rPr>
        <w:t>La obligación de confidencialidad no aplicará a información que sea pública sin incumplimiento de este Acuerdo, que haya sido conocida lícitamente por la parte receptora antes de su divulgación, que sea desarrollada de forma independiente sin uso de información confidencial, o que deba ser revelada por ley, orden judicial o autoridad competente.</w:t>
      </w:r>
    </w:p>
    <w:p>
      <w:pPr>
        <w:spacing w:line="259" w:lineRule="auto" w:after="120"/>
      </w:pPr>
      <w:r>
        <w:rPr>
          <w:rFonts w:ascii="Arial" w:hAnsi="Arial"/>
          <w:color w:val="181C20"/>
          <w:sz w:val="21"/>
        </w:rPr>
        <w:t>Las obligaciones de confidencialidad continuarán después de cualquier terminación, venta, transferencia o separación de BEOFlow, en la medida permitida por la ley aplicable.</w:t>
      </w:r>
    </w:p>
    <w:p>
      <w:pPr>
        <w:pStyle w:val="Heading1"/>
        <w:keepNext/>
      </w:pPr>
      <w:r>
        <w:rPr>
          <w:rFonts w:ascii="Arial" w:hAnsi="Arial"/>
          <w:b/>
          <w:color w:val="195C7A"/>
          <w:sz w:val="28"/>
        </w:rPr>
        <w:t>9. No Competencia y No Solicitud Razonables</w:t>
      </w:r>
    </w:p>
    <w:p>
      <w:pPr>
        <w:spacing w:line="259" w:lineRule="auto" w:after="120"/>
      </w:pPr>
      <w:r>
        <w:rPr>
          <w:rFonts w:ascii="Arial" w:hAnsi="Arial"/>
          <w:color w:val="181C20"/>
          <w:sz w:val="21"/>
        </w:rPr>
        <w:t>Las partes acuerdan que cualquier restricción de no competencia o no solicitud deberá interpretarse de manera razonable, limitada y únicamente en la medida necesaria para proteger intereses legítimos de BEOFlow y Bastida Systems LLC, incluyendo información confidencial, relaciones con clientes, propiedad intelectual y oportunidades comerciales activas.</w:t>
      </w:r>
    </w:p>
    <w:p>
      <w:pPr>
        <w:spacing w:line="259" w:lineRule="auto" w:after="120"/>
      </w:pPr>
      <w:r>
        <w:rPr>
          <w:rFonts w:ascii="Arial" w:hAnsi="Arial"/>
          <w:color w:val="181C20"/>
          <w:sz w:val="21"/>
        </w:rPr>
        <w:t>Durante la vigencia de este Acuerdo y por un período razonable posterior, ninguna parte deberá usar información confidencial de BEOFlow para crear, operar o apoyar directamente un producto sustancialmente similar que compita con BEOFlow en perjuicio del proyecto, ni solicitar activamente clientes, pilotos, prospectos, proveedores clave o miembros del equipo de BEOFlow con el propósito de desviar oportunidades del proyecto.</w:t>
      </w:r>
    </w:p>
    <w:p>
      <w:pPr>
        <w:spacing w:line="259" w:lineRule="auto" w:after="120"/>
      </w:pPr>
      <w:r>
        <w:rPr>
          <w:rFonts w:ascii="Arial" w:hAnsi="Arial"/>
          <w:color w:val="181C20"/>
          <w:sz w:val="21"/>
        </w:rPr>
        <w:t>Nada en esta sección impedirá actividades laborales generales, emprendimientos no competitivos, servicios profesionales que no usen información confidencial, ni actividades permitidas por la ley aplicable. Las partes reconocen que las restricciones de no competencia en Nevada están sujetas a requisitos específicos de razonabilidad y exigibilidad, por lo que esta sección deberá ser revisada por abogado antes de firma.</w:t>
      </w:r>
    </w:p>
    <w:p>
      <w:pPr>
        <w:pStyle w:val="Heading1"/>
        <w:keepNext/>
      </w:pPr>
      <w:r>
        <w:rPr>
          <w:rFonts w:ascii="Arial" w:hAnsi="Arial"/>
          <w:b/>
          <w:color w:val="195C7A"/>
          <w:sz w:val="28"/>
        </w:rPr>
        <w:t>10. Venta, Transferencia o Separación de BEOFlow</w:t>
      </w:r>
    </w:p>
    <w:p>
      <w:pPr>
        <w:spacing w:line="259" w:lineRule="auto" w:after="120"/>
      </w:pPr>
      <w:r>
        <w:rPr>
          <w:rFonts w:ascii="Arial" w:hAnsi="Arial"/>
          <w:color w:val="181C20"/>
          <w:sz w:val="21"/>
        </w:rPr>
        <w:t>Si BEOFlow es vendido parcial o totalmente, transferido, fusionado, licenciado de forma sustancial, separado como nueva entidad, o incluido en una transacción que genere beneficios económicos atribuibles a BEOFlow, David tendrá derecho a recibir el equivalente al diez por ciento (10%) de los beneficios netos correspondientes a dicha transacción.</w:t>
      </w:r>
    </w:p>
    <w:p>
      <w:pPr>
        <w:spacing w:line="259" w:lineRule="auto" w:after="120"/>
      </w:pPr>
      <w:r>
        <w:rPr>
          <w:rFonts w:ascii="Arial" w:hAnsi="Arial"/>
          <w:color w:val="181C20"/>
          <w:sz w:val="21"/>
        </w:rPr>
        <w:t>Los beneficios netos de una venta o transferencia se calcularán después de deducir costos directos de transacción, impuestos, deudas, obligaciones con terceros, honorarios razonables, reembolsos, retenciones, escrows, ajustes de precio y reservas razonables directamente atribuibles a la transacción.</w:t>
      </w:r>
    </w:p>
    <w:p>
      <w:pPr>
        <w:spacing w:line="259" w:lineRule="auto" w:after="120"/>
      </w:pPr>
      <w:r>
        <w:rPr>
          <w:rFonts w:ascii="Arial" w:hAnsi="Arial"/>
          <w:color w:val="181C20"/>
          <w:sz w:val="21"/>
        </w:rPr>
        <w:t>Ninguna venta, transferencia o separación de BEOFlow podrá estructurarse con el propósito principal de evitar o reducir indebidamente la participación económica permanente de David. Cualquier comprador, entidad sucesora o estructura de separación deberá reconocer la participación económica de David, salvo renuncia o modificación escrita firmada por David.</w:t>
      </w:r>
    </w:p>
    <w:p>
      <w:pPr>
        <w:pStyle w:val="Heading1"/>
        <w:keepNext/>
      </w:pPr>
      <w:r>
        <w:rPr>
          <w:rFonts w:ascii="Arial" w:hAnsi="Arial"/>
          <w:b/>
          <w:color w:val="195C7A"/>
          <w:sz w:val="28"/>
        </w:rPr>
        <w:t>11. Resolución de Controversias</w:t>
      </w:r>
    </w:p>
    <w:p>
      <w:pPr>
        <w:spacing w:line="259" w:lineRule="auto" w:after="120"/>
      </w:pPr>
      <w:r>
        <w:rPr>
          <w:rFonts w:ascii="Arial" w:hAnsi="Arial"/>
          <w:color w:val="181C20"/>
          <w:sz w:val="21"/>
        </w:rPr>
        <w:t>Las partes deberán intentar resolver cualquier controversia mediante negociación de buena fe. Si la controversia no se resuelve dentro de treinta (30) días posteriores a una notificación escrita, las partes podrán someterla a mediación en Nevada ante un mediador mutuamente aceptable.</w:t>
      </w:r>
    </w:p>
    <w:p>
      <w:pPr>
        <w:spacing w:line="259" w:lineRule="auto" w:after="120"/>
      </w:pPr>
      <w:r>
        <w:rPr>
          <w:rFonts w:ascii="Arial" w:hAnsi="Arial"/>
          <w:color w:val="181C20"/>
          <w:sz w:val="21"/>
        </w:rPr>
        <w:t>Si la mediación no resuelve la controversia, las partes podrán ejercer los recursos legales o equitativos disponibles ante los tribunales competentes de Nevada, salvo que acuerden por escrito someter la controversia a arbitraje. Nada impedirá solicitar medidas cautelares o equitativas urgentes para proteger información confidencial, propiedad intelectual o activos del proyecto.</w:t>
      </w:r>
    </w:p>
    <w:p>
      <w:pPr>
        <w:pStyle w:val="Heading1"/>
        <w:keepNext/>
      </w:pPr>
      <w:r>
        <w:rPr>
          <w:rFonts w:ascii="Arial" w:hAnsi="Arial"/>
          <w:b/>
          <w:color w:val="195C7A"/>
          <w:sz w:val="28"/>
        </w:rPr>
        <w:t>12. Ley Aplicable</w:t>
      </w:r>
    </w:p>
    <w:p>
      <w:pPr>
        <w:spacing w:line="259" w:lineRule="auto" w:after="120"/>
      </w:pPr>
      <w:r>
        <w:rPr>
          <w:rFonts w:ascii="Arial" w:hAnsi="Arial"/>
          <w:color w:val="181C20"/>
          <w:sz w:val="21"/>
        </w:rPr>
        <w:t>Este Acuerdo se regirá e interpretará de conformidad con las leyes del Estado de Nevada, Estados Unidos, sin dar efecto a principios de conflicto de leyes que pudieran remitir a la ley de otra jurisdicción.</w:t>
      </w:r>
    </w:p>
    <w:p>
      <w:pPr>
        <w:spacing w:line="259" w:lineRule="auto" w:after="120"/>
      </w:pPr>
      <w:r>
        <w:rPr>
          <w:rFonts w:ascii="Arial" w:hAnsi="Arial"/>
          <w:color w:val="181C20"/>
          <w:sz w:val="21"/>
        </w:rPr>
        <w:t>Las partes reconocen que la estructura final de propiedad, membresía, administración, transferencias, derechos económicos y restricciones post-contractuales puede requerir revisión adicional bajo la ley de Nevada y los documentos de gobierno corporativo de Bastida Systems LLC.</w:t>
      </w:r>
    </w:p>
    <w:p>
      <w:pPr>
        <w:pStyle w:val="Heading1"/>
        <w:keepNext/>
      </w:pPr>
      <w:r>
        <w:rPr>
          <w:rFonts w:ascii="Arial" w:hAnsi="Arial"/>
          <w:b/>
          <w:color w:val="195C7A"/>
          <w:sz w:val="28"/>
        </w:rPr>
        <w:t>13. Modificaciones por Escrito</w:t>
      </w:r>
    </w:p>
    <w:p>
      <w:pPr>
        <w:spacing w:line="259" w:lineRule="auto" w:after="120"/>
      </w:pPr>
      <w:r>
        <w:rPr>
          <w:rFonts w:ascii="Arial" w:hAnsi="Arial"/>
          <w:color w:val="181C20"/>
          <w:sz w:val="21"/>
        </w:rPr>
        <w:t>Este Acuerdo solo podrá modificarse, renunciarse, complementarse o reemplazarse mediante documento escrito firmado por David Ramirez Bastida y Rodrigo Ramirez Bastida, y por Bastida Systems LLC cuando la modificación afecte activos, propiedad intelectual, cuentas, obligaciones, estructura societaria o recursos de la compañía.</w:t>
      </w:r>
    </w:p>
    <w:p>
      <w:pPr>
        <w:spacing w:line="259" w:lineRule="auto" w:after="120"/>
      </w:pPr>
      <w:r>
        <w:rPr>
          <w:rFonts w:ascii="Arial" w:hAnsi="Arial"/>
          <w:color w:val="181C20"/>
          <w:sz w:val="21"/>
        </w:rPr>
        <w:t>Ningún correo electrónico, mensaje de texto, conversación informal, práctica operativa o conducta posterior modificará la participación económica permanente del 10% de David salvo que exista acuerdo escrito claro y firmado por las partes requeridas.</w:t>
      </w:r>
    </w:p>
    <w:p>
      <w:pPr>
        <w:pStyle w:val="Heading1"/>
        <w:keepNext/>
      </w:pPr>
      <w:r>
        <w:rPr>
          <w:rFonts w:ascii="Arial" w:hAnsi="Arial"/>
          <w:b/>
          <w:color w:val="195C7A"/>
          <w:sz w:val="28"/>
        </w:rPr>
        <w:t>14. Disposiciones Generales</w:t>
      </w:r>
    </w:p>
    <w:p>
      <w:pPr>
        <w:pStyle w:val="ListNumber"/>
        <w:spacing w:after="100"/>
        <w:ind w:left="720" w:hanging="360"/>
      </w:pPr>
      <w:r>
        <w:rPr>
          <w:rFonts w:ascii="Arial" w:hAnsi="Arial"/>
          <w:color w:val="181C20"/>
          <w:sz w:val="21"/>
        </w:rPr>
        <w:t>Divisibilidad. Si alguna disposición de este Acuerdo se considera inválida o inexigible, las disposiciones restantes continuarán en vigor en la mayor medida permitida por la ley.</w:t>
      </w:r>
    </w:p>
    <w:p>
      <w:pPr>
        <w:pStyle w:val="ListNumber"/>
        <w:spacing w:after="100"/>
        <w:ind w:left="720" w:hanging="360"/>
      </w:pPr>
      <w:r>
        <w:rPr>
          <w:rFonts w:ascii="Arial" w:hAnsi="Arial"/>
          <w:color w:val="181C20"/>
          <w:sz w:val="21"/>
        </w:rPr>
        <w:t>No renuncia. La falta de ejercicio de un derecho no constituirá renuncia a dicho derecho ni a cualquier otro derecho futuro.</w:t>
      </w:r>
    </w:p>
    <w:p>
      <w:pPr>
        <w:pStyle w:val="ListNumber"/>
        <w:spacing w:after="100"/>
        <w:ind w:left="720" w:hanging="360"/>
      </w:pPr>
      <w:r>
        <w:rPr>
          <w:rFonts w:ascii="Arial" w:hAnsi="Arial"/>
          <w:color w:val="181C20"/>
          <w:sz w:val="21"/>
        </w:rPr>
        <w:t>Contrapartes y firmas electrónicas. Este Acuerdo podrá firmarse en contrapartes y mediante firmas electrónicas en la medida permitida por la ley aplicable.</w:t>
      </w:r>
    </w:p>
    <w:p>
      <w:pPr>
        <w:pStyle w:val="ListNumber"/>
        <w:spacing w:after="100"/>
        <w:ind w:left="720" w:hanging="360"/>
      </w:pPr>
      <w:r>
        <w:rPr>
          <w:rFonts w:ascii="Arial" w:hAnsi="Arial"/>
          <w:color w:val="181C20"/>
          <w:sz w:val="21"/>
        </w:rPr>
        <w:t>Acuerdo interno. Este documento es un acuerdo interno entre las partes y no pretende crear derechos a favor de terceros salvo que se indique expresamente.</w:t>
      </w:r>
    </w:p>
    <w:p>
      <w:pPr>
        <w:pStyle w:val="ListNumber"/>
        <w:spacing w:after="100"/>
        <w:ind w:left="720" w:hanging="360"/>
      </w:pPr>
      <w:r>
        <w:rPr>
          <w:rFonts w:ascii="Arial" w:hAnsi="Arial"/>
          <w:color w:val="181C20"/>
          <w:sz w:val="21"/>
        </w:rPr>
        <w:t>Revisión por abogado. Antes de firma, las partes deberán solicitar revisión de un abogado corporativo, fiscal y de propiedad intelectual según corresponda.</w:t>
      </w:r>
    </w:p>
    <w:p>
      <w:pPr>
        <w:pStyle w:val="Heading1"/>
        <w:keepNext/>
      </w:pPr>
      <w:r>
        <w:rPr>
          <w:rFonts w:ascii="Arial" w:hAnsi="Arial"/>
          <w:b/>
          <w:color w:val="195C7A"/>
          <w:sz w:val="28"/>
        </w:rPr>
        <w:t>15. Ejecución y Firmas</w:t>
      </w:r>
    </w:p>
    <w:p>
      <w:pPr>
        <w:spacing w:line="259" w:lineRule="auto" w:after="120"/>
      </w:pPr>
      <w:r>
        <w:rPr>
          <w:rFonts w:ascii="Arial" w:hAnsi="Arial"/>
          <w:color w:val="181C20"/>
          <w:sz w:val="21"/>
        </w:rPr>
        <w:t>Al firmar este Acuerdo, las partes reconocen que han leído el documento, entienden sus términos principales y desean documentar por escrito la estructura de BEOFlow, la función operativa de Rodrigo, la función estratégica de David y la participación económica permanente del 10% de David.</w:t>
      </w:r>
    </w:p>
    <w:p>
      <w:r>
        <w:br w:type="page"/>
      </w:r>
    </w:p>
    <w:p>
      <w:pPr>
        <w:pStyle w:val="Heading2"/>
        <w:keepNext/>
      </w:pPr>
      <w:r>
        <w:rPr>
          <w:rFonts w:ascii="Arial" w:hAnsi="Arial"/>
          <w:b/>
          <w:color w:val="181C20"/>
          <w:sz w:val="24"/>
        </w:rPr>
        <w:t>Firmas</w:t>
      </w:r>
    </w:p>
    <w:tbl>
      <w:tblPr>
        <w:tblW w:type="dxa" w:w="9360"/>
        <w:jc w:val="left"/>
        <w:tblLook w:firstColumn="1" w:firstRow="1" w:lastColumn="0" w:lastRow="0" w:noHBand="0" w:noVBand="1" w:val="04A0"/>
        <w:tblLayout w:type="fixed"/>
        <w:tblBorders>
          <w:top w:val="single" w:sz="4" w:space="0" w:color="C9D7DE"/>
          <w:left w:val="single" w:sz="4" w:space="0" w:color="C9D7DE"/>
          <w:bottom w:val="single" w:sz="4" w:space="0" w:color="C9D7DE"/>
          <w:right w:val="single" w:sz="4" w:space="0" w:color="C9D7DE"/>
          <w:insideH w:val="single" w:sz="4" w:space="0" w:color="C9D7DE"/>
          <w:insideV w:val="single" w:sz="4" w:space="0" w:color="C9D7DE"/>
        </w:tblBorders>
      </w:tblPr>
      <w:tblGrid>
        <w:gridCol w:w="4896"/>
        <w:gridCol w:w="4896"/>
      </w:tblGrid>
      <w:tr>
        <w:tc>
          <w:tcPr>
            <w:tcW w:type="dxa" w:w="4680"/>
            <w:tcMar>
              <w:top w:w="150" w:type="dxa"/>
              <w:start w:w="160" w:type="dxa"/>
              <w:bottom w:w="150" w:type="dxa"/>
              <w:end w:w="160" w:type="dxa"/>
            </w:tcMar>
            <w:vAlign w:val="top"/>
          </w:tcPr>
          <w:p>
            <w:pPr>
              <w:spacing w:after="360"/>
            </w:pPr>
            <w:r/>
            <w:r>
              <w:rPr>
                <w:rFonts w:ascii="Arial" w:hAnsi="Arial"/>
                <w:b/>
                <w:color w:val="181C20"/>
                <w:sz w:val="21"/>
              </w:rPr>
              <w:t>David Ramirez Bastida</w:t>
            </w:r>
          </w:p>
          <w:p>
            <w:pPr>
              <w:spacing w:before="400"/>
              <w:pBdr>
                <w:bottom w:val="single" w:sz="6" w:space="4" w:color="9CAAB2"/>
              </w:pBdr>
            </w:pPr>
          </w:p>
          <w:p>
            <w:pPr>
              <w:spacing w:after="0"/>
            </w:pPr>
            <w:r>
              <w:rPr>
                <w:rFonts w:ascii="Arial" w:hAnsi="Arial"/>
                <w:color w:val="5A6068"/>
                <w:sz w:val="18"/>
              </w:rPr>
              <w:t>Fecha: ______________________________</w:t>
            </w:r>
          </w:p>
        </w:tc>
        <w:tc>
          <w:tcPr>
            <w:tcW w:type="dxa" w:w="4680"/>
            <w:tcMar>
              <w:top w:w="150" w:type="dxa"/>
              <w:start w:w="160" w:type="dxa"/>
              <w:bottom w:w="150" w:type="dxa"/>
              <w:end w:w="160" w:type="dxa"/>
            </w:tcMar>
            <w:vAlign w:val="top"/>
          </w:tcPr>
          <w:p>
            <w:r/>
            <w:r>
              <w:rPr>
                <w:rFonts w:ascii="Arial" w:hAnsi="Arial"/>
                <w:color w:val="181C20"/>
                <w:sz w:val="20"/>
              </w:rPr>
              <w:t>Fundador / Diseñador / Asesor tecnológico / Participante económico</w:t>
            </w:r>
          </w:p>
          <w:p>
            <w:r>
              <w:rPr>
                <w:sz w:val="18"/>
              </w:rPr>
              <w:t>Firma: ______________________________</w:t>
            </w:r>
          </w:p>
        </w:tc>
      </w:tr>
      <w:tr>
        <w:tc>
          <w:tcPr>
            <w:tcW w:type="dxa" w:w="4680"/>
            <w:tcMar>
              <w:top w:w="150" w:type="dxa"/>
              <w:start w:w="160" w:type="dxa"/>
              <w:bottom w:w="150" w:type="dxa"/>
              <w:end w:w="160" w:type="dxa"/>
            </w:tcMar>
            <w:vAlign w:val="top"/>
          </w:tcPr>
          <w:p>
            <w:pPr>
              <w:spacing w:after="360"/>
            </w:pPr>
            <w:r/>
            <w:r>
              <w:rPr>
                <w:rFonts w:ascii="Arial" w:hAnsi="Arial"/>
                <w:b/>
                <w:color w:val="181C20"/>
                <w:sz w:val="21"/>
              </w:rPr>
              <w:t>Rodrigo Ramirez Bastida</w:t>
            </w:r>
          </w:p>
          <w:p>
            <w:pPr>
              <w:spacing w:before="400"/>
              <w:pBdr>
                <w:bottom w:val="single" w:sz="6" w:space="4" w:color="9CAAB2"/>
              </w:pBdr>
            </w:pPr>
          </w:p>
          <w:p>
            <w:pPr>
              <w:spacing w:after="0"/>
            </w:pPr>
            <w:r>
              <w:rPr>
                <w:rFonts w:ascii="Arial" w:hAnsi="Arial"/>
                <w:color w:val="5A6068"/>
                <w:sz w:val="18"/>
              </w:rPr>
              <w:t>Fecha: ______________________________</w:t>
            </w:r>
          </w:p>
        </w:tc>
        <w:tc>
          <w:tcPr>
            <w:tcW w:type="dxa" w:w="4680"/>
            <w:tcMar>
              <w:top w:w="150" w:type="dxa"/>
              <w:start w:w="160" w:type="dxa"/>
              <w:bottom w:w="150" w:type="dxa"/>
              <w:end w:w="160" w:type="dxa"/>
            </w:tcMar>
            <w:vAlign w:val="top"/>
          </w:tcPr>
          <w:p>
            <w:r/>
            <w:r>
              <w:rPr>
                <w:rFonts w:ascii="Arial" w:hAnsi="Arial"/>
                <w:color w:val="181C20"/>
                <w:sz w:val="20"/>
              </w:rPr>
              <w:t>Propietario operativo / Director principal de BEOFlow</w:t>
            </w:r>
          </w:p>
          <w:p>
            <w:r>
              <w:rPr>
                <w:sz w:val="18"/>
              </w:rPr>
              <w:t>Firma: ______________________________</w:t>
            </w:r>
          </w:p>
        </w:tc>
      </w:tr>
      <w:tr>
        <w:tc>
          <w:tcPr>
            <w:tcW w:type="dxa" w:w="4680"/>
            <w:tcMar>
              <w:top w:w="150" w:type="dxa"/>
              <w:start w:w="160" w:type="dxa"/>
              <w:bottom w:w="150" w:type="dxa"/>
              <w:end w:w="160" w:type="dxa"/>
            </w:tcMar>
            <w:vAlign w:val="top"/>
          </w:tcPr>
          <w:p>
            <w:pPr>
              <w:spacing w:after="360"/>
            </w:pPr>
            <w:r/>
            <w:r>
              <w:rPr>
                <w:rFonts w:ascii="Arial" w:hAnsi="Arial"/>
                <w:b/>
                <w:color w:val="181C20"/>
                <w:sz w:val="21"/>
              </w:rPr>
              <w:t>Bastida Systems LLC</w:t>
            </w:r>
          </w:p>
          <w:p>
            <w:pPr>
              <w:spacing w:before="400"/>
              <w:pBdr>
                <w:bottom w:val="single" w:sz="6" w:space="4" w:color="9CAAB2"/>
              </w:pBdr>
            </w:pPr>
          </w:p>
          <w:p>
            <w:pPr>
              <w:spacing w:after="0"/>
            </w:pPr>
            <w:r>
              <w:rPr>
                <w:rFonts w:ascii="Arial" w:hAnsi="Arial"/>
                <w:color w:val="5A6068"/>
                <w:sz w:val="18"/>
              </w:rPr>
              <w:t>Fecha: ______________________________</w:t>
            </w:r>
          </w:p>
        </w:tc>
        <w:tc>
          <w:tcPr>
            <w:tcW w:type="dxa" w:w="4680"/>
            <w:tcMar>
              <w:top w:w="150" w:type="dxa"/>
              <w:start w:w="160" w:type="dxa"/>
              <w:bottom w:w="150" w:type="dxa"/>
              <w:end w:w="160" w:type="dxa"/>
            </w:tcMar>
            <w:vAlign w:val="top"/>
          </w:tcPr>
          <w:p>
            <w:r/>
            <w:r>
              <w:rPr>
                <w:rFonts w:ascii="Arial" w:hAnsi="Arial"/>
                <w:color w:val="181C20"/>
                <w:sz w:val="20"/>
              </w:rPr>
              <w:t>Por: Representante autorizado</w:t>
            </w:r>
          </w:p>
          <w:p>
            <w:r>
              <w:rPr>
                <w:sz w:val="18"/>
              </w:rPr>
              <w:t>Firma: ______________________________</w:t>
            </w:r>
          </w:p>
        </w:tc>
      </w:tr>
    </w:tbl>
    <w:p>
      <w:pPr>
        <w:pStyle w:val="Heading1"/>
        <w:pageBreakBefore/>
        <w:keepNext/>
      </w:pPr>
      <w:r>
        <w:rPr>
          <w:rFonts w:ascii="Arial" w:hAnsi="Arial"/>
          <w:b/>
          <w:color w:val="195C7A"/>
          <w:sz w:val="28"/>
        </w:rPr>
        <w:t>Anexo A. Activos Iniciales del Proyecto</w:t>
      </w:r>
    </w:p>
    <w:p>
      <w:pPr>
        <w:spacing w:line="259" w:lineRule="auto" w:after="120"/>
      </w:pPr>
      <w:r>
        <w:rPr>
          <w:rFonts w:ascii="Arial" w:hAnsi="Arial"/>
          <w:color w:val="181C20"/>
          <w:sz w:val="21"/>
        </w:rPr>
        <w:t>La siguiente lista describe de manera no limitativa los activos iniciales relacionados con BEOFlow que se reconocen como desarrollados dentro del ecosistema de Bastida Systems LLC:</w:t>
      </w:r>
    </w:p>
    <w:p>
      <w:pPr>
        <w:pStyle w:val="ListBullet"/>
        <w:spacing w:after="100"/>
        <w:ind w:left="720" w:hanging="360"/>
      </w:pPr>
      <w:r>
        <w:rPr>
          <w:rFonts w:ascii="Arial" w:hAnsi="Arial"/>
          <w:color w:val="181C20"/>
          <w:sz w:val="21"/>
        </w:rPr>
        <w:t>Nombre comercial BEOFlow y elementos de marca asociados.</w:t>
      </w:r>
    </w:p>
    <w:p>
      <w:pPr>
        <w:pStyle w:val="ListBullet"/>
        <w:spacing w:after="100"/>
        <w:ind w:left="720" w:hanging="360"/>
      </w:pPr>
      <w:r>
        <w:rPr>
          <w:rFonts w:ascii="Arial" w:hAnsi="Arial"/>
          <w:color w:val="181C20"/>
          <w:sz w:val="21"/>
        </w:rPr>
        <w:t>Conceptos de producto, flujos de usuario, arquitectura funcional y materiales de estrategia.</w:t>
      </w:r>
    </w:p>
    <w:p>
      <w:pPr>
        <w:pStyle w:val="ListBullet"/>
        <w:spacing w:after="100"/>
        <w:ind w:left="720" w:hanging="360"/>
      </w:pPr>
      <w:r>
        <w:rPr>
          <w:rFonts w:ascii="Arial" w:hAnsi="Arial"/>
          <w:color w:val="181C20"/>
          <w:sz w:val="21"/>
        </w:rPr>
        <w:t>Diseños UX/UI, prototipos, layouts, componentes visuales y guías de experiencia.</w:t>
      </w:r>
    </w:p>
    <w:p>
      <w:pPr>
        <w:pStyle w:val="ListBullet"/>
        <w:spacing w:after="100"/>
        <w:ind w:left="720" w:hanging="360"/>
      </w:pPr>
      <w:r>
        <w:rPr>
          <w:rFonts w:ascii="Arial" w:hAnsi="Arial"/>
          <w:color w:val="181C20"/>
          <w:sz w:val="21"/>
        </w:rPr>
        <w:t>Software, código fuente, scripts, integraciones, documentación técnica y repositorios relacionados.</w:t>
      </w:r>
    </w:p>
    <w:p>
      <w:pPr>
        <w:pStyle w:val="ListBullet"/>
        <w:spacing w:after="100"/>
        <w:ind w:left="720" w:hanging="360"/>
      </w:pPr>
      <w:r>
        <w:rPr>
          <w:rFonts w:ascii="Arial" w:hAnsi="Arial"/>
          <w:color w:val="181C20"/>
          <w:sz w:val="21"/>
        </w:rPr>
        <w:t>Materiales comerciales, presentaciones, propuestas, copy, documentación de clientes y materiales de ventas.</w:t>
      </w:r>
    </w:p>
    <w:p>
      <w:pPr>
        <w:pStyle w:val="ListBullet"/>
        <w:spacing w:after="100"/>
        <w:ind w:left="720" w:hanging="360"/>
      </w:pPr>
      <w:r>
        <w:rPr>
          <w:rFonts w:ascii="Arial" w:hAnsi="Arial"/>
          <w:color w:val="181C20"/>
          <w:sz w:val="21"/>
        </w:rPr>
        <w:t>Infraestructura tecnológica, configuraciones, dominios, cuentas, recursos cloud y herramientas utilizadas para operar o desarrollar BEOFlow.</w:t>
      </w:r>
    </w:p>
    <w:p>
      <w:pPr>
        <w:pStyle w:val="ListBullet"/>
        <w:spacing w:after="100"/>
        <w:ind w:left="720" w:hanging="360"/>
      </w:pPr>
      <w:r>
        <w:rPr>
          <w:rFonts w:ascii="Arial" w:hAnsi="Arial"/>
          <w:color w:val="181C20"/>
          <w:sz w:val="21"/>
        </w:rPr>
        <w:t>Conocimiento operativo, procesos internos, documentación de soporte y planes de producto futuros.</w:t>
      </w:r>
    </w:p>
    <w:p>
      <w:pPr>
        <w:pStyle w:val="Heading1"/>
        <w:keepNext/>
      </w:pPr>
      <w:r>
        <w:rPr>
          <w:rFonts w:ascii="Arial" w:hAnsi="Arial"/>
          <w:b/>
          <w:color w:val="195C7A"/>
          <w:sz w:val="28"/>
        </w:rPr>
        <w:t>Anexo B. Notas de Redacción y Referencias de Fuente (No Operativas)</w:t>
      </w:r>
    </w:p>
    <w:p>
      <w:pPr>
        <w:spacing w:line="259" w:lineRule="auto" w:after="120"/>
      </w:pPr>
      <w:r>
        <w:rPr>
          <w:rFonts w:ascii="Arial" w:hAnsi="Arial"/>
          <w:color w:val="181C20"/>
          <w:sz w:val="21"/>
        </w:rPr>
        <w:t>Este Anexo no modifica las obligaciones operativas del Acuerdo. Su propósito es documentar las fuentes utilizadas para la redacción y los puntos que deben ser revisados por abogado antes de firma.</w:t>
      </w:r>
    </w:p>
    <w:p>
      <w:pPr>
        <w:pStyle w:val="Heading2"/>
        <w:keepNext/>
      </w:pPr>
      <w:r>
        <w:rPr>
          <w:rFonts w:ascii="Arial" w:hAnsi="Arial"/>
          <w:b/>
          <w:color w:val="181C20"/>
          <w:sz w:val="24"/>
        </w:rPr>
        <w:t>Fuentes de hechos empresariales</w:t>
      </w:r>
    </w:p>
    <w:p>
      <w:pPr>
        <w:pStyle w:val="ListBullet"/>
        <w:spacing w:after="100"/>
        <w:ind w:left="720" w:hanging="360"/>
      </w:pPr>
      <w:r>
        <w:rPr>
          <w:rFonts w:ascii="Arial" w:hAnsi="Arial"/>
          <w:color w:val="181C20"/>
          <w:sz w:val="21"/>
        </w:rPr>
        <w:t>Información proporcionada por las partes: Bastida Systems LLC es la empresa matriz; BEOFlow fue creado dentro del ecosistema de Bastida Systems; Rodrigo Ramirez Bastida será propietario operativo y director principal de BEOFlow; David Ramirez Bastida conservará 10% de participación económica permanente.</w:t>
      </w:r>
    </w:p>
    <w:p>
      <w:pPr>
        <w:pStyle w:val="ListBullet"/>
        <w:spacing w:after="100"/>
        <w:ind w:left="720" w:hanging="360"/>
      </w:pPr>
      <w:r>
        <w:rPr>
          <w:rFonts w:ascii="Arial" w:hAnsi="Arial"/>
          <w:color w:val="181C20"/>
          <w:sz w:val="21"/>
        </w:rPr>
        <w:t>Contribuciones indicadas para David Ramirez Bastida: conceptualización, diseño UX/UI, marca, desarrollo estratégico e infraestructura tecnológica.</w:t>
      </w:r>
    </w:p>
    <w:p>
      <w:pPr>
        <w:pStyle w:val="ListBullet"/>
        <w:spacing w:after="100"/>
        <w:ind w:left="720" w:hanging="360"/>
      </w:pPr>
      <w:r>
        <w:rPr>
          <w:rFonts w:ascii="Arial" w:hAnsi="Arial"/>
          <w:color w:val="181C20"/>
          <w:sz w:val="21"/>
        </w:rPr>
        <w:t>Estructura solicitada: operaciones diarias a cargo de Rodrigo; David como diseñador, asesor tecnológico y consultor estratégico, sin responsabilidad diaria de operación.</w:t>
      </w:r>
    </w:p>
    <w:p>
      <w:pPr>
        <w:pStyle w:val="Heading2"/>
        <w:keepNext/>
      </w:pPr>
      <w:r>
        <w:rPr>
          <w:rFonts w:ascii="Arial" w:hAnsi="Arial"/>
          <w:b/>
          <w:color w:val="181C20"/>
          <w:sz w:val="24"/>
        </w:rPr>
        <w:t>Referencias legales públicas</w:t>
      </w:r>
    </w:p>
    <w:p>
      <w:pPr>
        <w:pStyle w:val="ListBullet"/>
        <w:spacing w:after="100"/>
        <w:ind w:left="720" w:hanging="360"/>
      </w:pPr>
      <w:r>
        <w:rPr>
          <w:rFonts w:ascii="Arial" w:hAnsi="Arial"/>
          <w:color w:val="181C20"/>
          <w:sz w:val="21"/>
        </w:rPr>
        <w:t>Nevada Revised Statutes, Chapter 86, Limited-Liability Companies: https://www.leg.state.nv.us/Division/Legal/LaWLibrary/NRS/NRS-086.html</w:t>
      </w:r>
    </w:p>
    <w:p>
      <w:pPr>
        <w:pStyle w:val="ListBullet"/>
        <w:spacing w:after="100"/>
        <w:ind w:left="720" w:hanging="360"/>
      </w:pPr>
      <w:r>
        <w:rPr>
          <w:rFonts w:ascii="Arial" w:hAnsi="Arial"/>
          <w:color w:val="181C20"/>
          <w:sz w:val="21"/>
        </w:rPr>
        <w:t>Nevada Revised Statutes, NRS 613.195, Noncompetition covenants: https://www.leg.state.nv.us/nrs/NRS-613.html</w:t>
      </w:r>
    </w:p>
    <w:p>
      <w:pPr>
        <w:pStyle w:val="Heading2"/>
        <w:keepNext/>
      </w:pPr>
      <w:r>
        <w:rPr>
          <w:rFonts w:ascii="Arial" w:hAnsi="Arial"/>
          <w:b/>
          <w:color w:val="181C20"/>
          <w:sz w:val="24"/>
        </w:rPr>
        <w:t>Puntos para revisión de abogado</w:t>
      </w:r>
    </w:p>
    <w:p>
      <w:pPr>
        <w:pStyle w:val="ListBullet"/>
        <w:spacing w:after="100"/>
        <w:ind w:left="720" w:hanging="360"/>
      </w:pPr>
      <w:r>
        <w:rPr>
          <w:rFonts w:ascii="Arial" w:hAnsi="Arial"/>
          <w:color w:val="181C20"/>
          <w:sz w:val="21"/>
        </w:rPr>
        <w:t>Confirmar si la participación económica de BEOFlow debe documentarse como derecho contractual interno, interés societario, profit interest, royalty, licencia, equity de una entidad separada o modificación del operating agreement.</w:t>
      </w:r>
    </w:p>
    <w:p>
      <w:pPr>
        <w:pStyle w:val="ListBullet"/>
        <w:spacing w:after="100"/>
        <w:ind w:left="720" w:hanging="360"/>
      </w:pPr>
      <w:r>
        <w:rPr>
          <w:rFonts w:ascii="Arial" w:hAnsi="Arial"/>
          <w:color w:val="181C20"/>
          <w:sz w:val="21"/>
        </w:rPr>
        <w:t>Revisar tratamiento fiscal de utilidades, distribuciones, venta, transferencias, reinversión, reembolsos y reservas.</w:t>
      </w:r>
    </w:p>
    <w:p>
      <w:pPr>
        <w:pStyle w:val="ListBullet"/>
        <w:spacing w:after="100"/>
        <w:ind w:left="720" w:hanging="360"/>
      </w:pPr>
      <w:r>
        <w:rPr>
          <w:rFonts w:ascii="Arial" w:hAnsi="Arial"/>
          <w:color w:val="181C20"/>
          <w:sz w:val="21"/>
        </w:rPr>
        <w:t>Confirmar titularidad y cesión formal de propiedad intelectual, incluyendo código, diseños, marca, dominios, cuentas y repositorios.</w:t>
      </w:r>
    </w:p>
    <w:p>
      <w:pPr>
        <w:pStyle w:val="ListBullet"/>
        <w:spacing w:after="100"/>
        <w:ind w:left="720" w:hanging="360"/>
      </w:pPr>
      <w:r>
        <w:rPr>
          <w:rFonts w:ascii="Arial" w:hAnsi="Arial"/>
          <w:color w:val="181C20"/>
          <w:sz w:val="21"/>
        </w:rPr>
        <w:t>Ajustar la cláusula de no competencia/no solicitud a los requisitos aplicables de Nevada y a la relación real entre las partes.</w:t>
      </w:r>
    </w:p>
    <w:p>
      <w:pPr>
        <w:pStyle w:val="ListBullet"/>
        <w:spacing w:after="100"/>
        <w:ind w:left="720" w:hanging="360"/>
      </w:pPr>
      <w:r>
        <w:rPr>
          <w:rFonts w:ascii="Arial" w:hAnsi="Arial"/>
          <w:color w:val="181C20"/>
          <w:sz w:val="21"/>
        </w:rPr>
        <w:t>Definir idioma prevaleciente si se firman versiones en inglés y español.</w:t>
      </w:r>
    </w:p>
    <w:sectPr w:rsidR="00FC693F" w:rsidRPr="0006063C" w:rsidSect="00034616">
      <w:headerReference w:type="default" r:id="rId9"/>
      <w:footerReference w:type="default" r:id="rId10"/>
      <w:pgSz w:w="12240" w:h="15840"/>
      <w:pgMar w:top="1181" w:right="1224" w:bottom="112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A6068"/>
        <w:sz w:val="18"/>
      </w:rPr>
      <w:t xml:space="preserve">Página </w:t>
    </w:r>
    <w:fldSimple w:instr="PAGE">
      <w:r>
        <w:rPr>
          <w:sz w:val="18"/>
          <w:color w:val="5A606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9D7DE"/>
      </w:pBdr>
    </w:pPr>
    <w:r/>
    <w:r>
      <w:rPr>
        <w:rFonts w:ascii="Arial" w:hAnsi="Arial"/>
        <w:color w:val="5A6068"/>
        <w:sz w:val="17"/>
      </w:rPr>
      <w:t>Bastida Systems LLC  |  Acuerdo de Propiedad y Participación de BEOFlow  |  Traducción al español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81C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95C7A"/>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81C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1C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