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BEOFlow Ownership and Participation Agreement</w:t>
      </w:r>
    </w:p>
    <w:p>
      <w:pPr>
        <w:pStyle w:val="Subtitle"/>
        <w:jc w:val="center"/>
      </w:pPr>
      <w:r>
        <w:t>Internal Project Ownership, Operations, Intellectual Property, and Economic Participation Agreement</w:t>
      </w:r>
    </w:p>
    <w:tbl>
      <w:tblPr>
        <w:tblW w:type="dxa" w:w="9360"/>
        <w:tblLook w:firstColumn="1" w:firstRow="1" w:lastColumn="0" w:lastRow="0" w:noHBand="0" w:noVBand="1" w:val="04A0"/>
        <w:jc w:val="left"/>
        <w:tblLayout w:type="fixed"/>
      </w:tblPr>
      <w:tblGrid>
        <w:gridCol w:w="4824"/>
        <w:gridCol w:w="4824"/>
      </w:tblGrid>
      <w:tr>
        <w:tc>
          <w:tcPr>
            <w:tcW w:type="dxa" w:w="25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shd w:fill="EEF7F4"/>
          </w:tcPr>
          <w:p>
            <w:r>
              <w:rPr>
                <w:rFonts w:ascii="Arial" w:hAnsi="Arial"/>
                <w:b/>
                <w:color w:val="007054"/>
                <w:sz w:val="20"/>
              </w:rPr>
              <w:t>Company</w:t>
            </w:r>
          </w:p>
        </w:tc>
        <w:tc>
          <w:tcPr>
            <w:tcW w:type="dxa" w:w="68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tcPr>
          <w:p>
            <w:r>
              <w:rPr>
                <w:rFonts w:ascii="Arial" w:hAnsi="Arial"/>
                <w:b w:val="0"/>
                <w:color w:val="0F172A"/>
                <w:sz w:val="20"/>
              </w:rPr>
              <w:t>Bastida Systems LLC, a Nevada limited liability company</w:t>
            </w:r>
          </w:p>
        </w:tc>
      </w:tr>
      <w:tr>
        <w:tc>
          <w:tcPr>
            <w:tcW w:type="dxa" w:w="25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shd w:fill="EEF7F4"/>
          </w:tcPr>
          <w:p>
            <w:r>
              <w:rPr>
                <w:rFonts w:ascii="Arial" w:hAnsi="Arial"/>
                <w:b/>
                <w:color w:val="007054"/>
                <w:sz w:val="20"/>
              </w:rPr>
              <w:t>Project</w:t>
            </w:r>
          </w:p>
        </w:tc>
        <w:tc>
          <w:tcPr>
            <w:tcW w:type="dxa" w:w="68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tcPr>
          <w:p>
            <w:r>
              <w:rPr>
                <w:rFonts w:ascii="Arial" w:hAnsi="Arial"/>
                <w:b w:val="0"/>
                <w:color w:val="0F172A"/>
                <w:sz w:val="20"/>
              </w:rPr>
              <w:t>BEOFlow</w:t>
            </w:r>
          </w:p>
        </w:tc>
      </w:tr>
      <w:tr>
        <w:tc>
          <w:tcPr>
            <w:tcW w:type="dxa" w:w="25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shd w:fill="EEF7F4"/>
          </w:tcPr>
          <w:p>
            <w:r>
              <w:rPr>
                <w:rFonts w:ascii="Arial" w:hAnsi="Arial"/>
                <w:b/>
                <w:color w:val="007054"/>
                <w:sz w:val="20"/>
              </w:rPr>
              <w:t>Founder</w:t>
            </w:r>
          </w:p>
        </w:tc>
        <w:tc>
          <w:tcPr>
            <w:tcW w:type="dxa" w:w="68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tcPr>
          <w:p>
            <w:r>
              <w:rPr>
                <w:rFonts w:ascii="Arial" w:hAnsi="Arial"/>
                <w:b w:val="0"/>
                <w:color w:val="0F172A"/>
                <w:sz w:val="20"/>
              </w:rPr>
              <w:t>David Ramirez Bastida</w:t>
            </w:r>
          </w:p>
        </w:tc>
      </w:tr>
      <w:tr>
        <w:tc>
          <w:tcPr>
            <w:tcW w:type="dxa" w:w="25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shd w:fill="EEF7F4"/>
          </w:tcPr>
          <w:p>
            <w:r>
              <w:rPr>
                <w:rFonts w:ascii="Arial" w:hAnsi="Arial"/>
                <w:b/>
                <w:color w:val="007054"/>
                <w:sz w:val="20"/>
              </w:rPr>
              <w:t>Operating Principal</w:t>
            </w:r>
          </w:p>
        </w:tc>
        <w:tc>
          <w:tcPr>
            <w:tcW w:type="dxa" w:w="68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tcPr>
          <w:p>
            <w:r>
              <w:rPr>
                <w:rFonts w:ascii="Arial" w:hAnsi="Arial"/>
                <w:b w:val="0"/>
                <w:color w:val="0F172A"/>
                <w:sz w:val="20"/>
              </w:rPr>
              <w:t>Rodrigo Ramirez Bastida</w:t>
            </w:r>
          </w:p>
        </w:tc>
      </w:tr>
      <w:tr>
        <w:tc>
          <w:tcPr>
            <w:tcW w:type="dxa" w:w="25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shd w:fill="EEF7F4"/>
          </w:tcPr>
          <w:p>
            <w:r>
              <w:rPr>
                <w:rFonts w:ascii="Arial" w:hAnsi="Arial"/>
                <w:b/>
                <w:color w:val="007054"/>
                <w:sz w:val="20"/>
              </w:rPr>
              <w:t>Governing Law</w:t>
            </w:r>
          </w:p>
        </w:tc>
        <w:tc>
          <w:tcPr>
            <w:tcW w:type="dxa" w:w="68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tcPr>
          <w:p>
            <w:r>
              <w:rPr>
                <w:rFonts w:ascii="Arial" w:hAnsi="Arial"/>
                <w:b w:val="0"/>
                <w:color w:val="0F172A"/>
                <w:sz w:val="20"/>
              </w:rPr>
              <w:t>State of Nevada, United States</w:t>
            </w:r>
          </w:p>
        </w:tc>
      </w:tr>
      <w:tr>
        <w:tc>
          <w:tcPr>
            <w:tcW w:type="dxa" w:w="25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shd w:fill="EEF7F4"/>
          </w:tcPr>
          <w:p>
            <w:r>
              <w:rPr>
                <w:rFonts w:ascii="Arial" w:hAnsi="Arial"/>
                <w:b/>
                <w:color w:val="007054"/>
                <w:sz w:val="20"/>
              </w:rPr>
              <w:t>Effective Date</w:t>
            </w:r>
          </w:p>
        </w:tc>
        <w:tc>
          <w:tcPr>
            <w:tcW w:type="dxa" w:w="68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vAlign w:val="center"/>
          </w:tcPr>
          <w:p>
            <w:r>
              <w:rPr>
                <w:rFonts w:ascii="Arial" w:hAnsi="Arial"/>
                <w:b w:val="0"/>
                <w:color w:val="0F172A"/>
                <w:sz w:val="20"/>
              </w:rPr>
              <w:t>____________________, 2026</w:t>
            </w:r>
          </w:p>
        </w:tc>
      </w:tr>
    </w:tbl>
    <w:p>
      <w:pPr>
        <w:spacing w:before="320" w:after="160" w:line="259" w:lineRule="auto"/>
      </w:pPr>
      <w:r>
        <w:rPr>
          <w:b/>
          <w:i w:val="0"/>
        </w:rPr>
        <w:t xml:space="preserve">Document status: </w:t>
      </w:r>
      <w:r>
        <w:rPr>
          <w:b w:val="0"/>
          <w:i w:val="0"/>
        </w:rPr>
        <w:t>Draft prepared for internal business documentation and review by qualified Nevada corporate counsel. This draft is not intended to replace formal legal, tax, accounting, securities, employment, or intellectual property advice.</w:t>
      </w:r>
    </w:p>
    <w:p>
      <w:pPr>
        <w:spacing w:before="80" w:after="0" w:line="259" w:lineRule="auto"/>
      </w:pPr>
      <w:r>
        <w:rPr>
          <w:b/>
          <w:i w:val="0"/>
        </w:rPr>
        <w:t xml:space="preserve">Confidentiality notice: </w:t>
      </w:r>
      <w:r>
        <w:rPr>
          <w:b w:val="0"/>
          <w:i w:val="0"/>
        </w:rPr>
        <w:t>This document contains confidential business and intellectual property terms of Bastida Systems LLC and BEOFlow.</w:t>
      </w:r>
    </w:p>
    <w:p>
      <w:r>
        <w:br w:type="page"/>
      </w:r>
    </w:p>
    <w:p>
      <w:pPr>
        <w:pStyle w:val="Heading1"/>
      </w:pPr>
      <w:r>
        <w:t>Table of Contents</w:t>
      </w:r>
    </w:p>
    <w:tbl>
      <w:tblPr>
        <w:tblW w:type="dxa" w:w="9360"/>
        <w:tblLook w:firstColumn="1" w:firstRow="1" w:lastColumn="0" w:lastRow="0" w:noHBand="0" w:noVBand="1" w:val="04A0"/>
        <w:jc w:val="left"/>
        <w:tblLayout w:type="fixed"/>
      </w:tblPr>
      <w:tblGrid>
        <w:gridCol w:w="4824"/>
        <w:gridCol w:w="4824"/>
      </w:tblGrid>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1. Object of the Agreement</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color w:val="0F172A"/>
                <w:sz w:val="18"/>
              </w:rPr>
              <w:t>2. Definitions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3. Project and Ownership Structure</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color w:val="0F172A"/>
                <w:sz w:val="18"/>
              </w:rPr>
              <w:t>4. Roles, Authority, and Responsibilities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5. Economic Participation</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color w:val="0F172A"/>
                <w:sz w:val="18"/>
              </w:rPr>
              <w:t>6. Distribution of Profits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7. Intellectual Property and Project Assets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color w:val="0F172A"/>
                <w:sz w:val="18"/>
              </w:rPr>
              <w:t>8. Confidentiality</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9. Reasonable Non-Competition and Non-Solicitation</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color w:val="0F172A"/>
                <w:sz w:val="18"/>
              </w:rPr>
              <w:t>10. Sale, Transfer, or Spin-Off of BEOFlow</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11. Dispute Resolution</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color w:val="0F172A"/>
                <w:sz w:val="18"/>
              </w:rPr>
              <w:t>12. Governing Law</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13. Amendments and Written Modifications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color w:val="0F172A"/>
                <w:sz w:val="18"/>
              </w:rPr>
              <w:t>14. Miscellaneous Provisions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15. Execution and Signatures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color w:val="0F172A"/>
                <w:sz w:val="18"/>
              </w:rPr>
              <w:t>Exhibit A. Initial Project Assets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tcPr>
          <w:p>
            <w:r>
              <w:rPr>
                <w:rFonts w:ascii="Arial" w:hAnsi="Arial"/>
                <w:b w:val="0"/>
                <w:color w:val="475569"/>
                <w:sz w:val="17"/>
              </w:rPr>
              <w:t>Agreement Section</w:t>
            </w:r>
          </w:p>
        </w:tc>
      </w:tr>
      <w:tr>
        <w:tc>
          <w:tcPr>
            <w:tcW w:type="dxa" w:w="690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color w:val="0F172A"/>
                <w:sz w:val="18"/>
              </w:rPr>
              <w:t>Exhibit B. Drafting Notes and Source References</w:t>
            </w:r>
          </w:p>
        </w:tc>
        <w:tc>
          <w:tcPr>
            <w:tcW w:type="dxa" w:w="2460"/>
            <w:tcBorders>
              <w:top w:val="single" w:sz="4" w:space="0" w:color="E2E8F0"/>
              <w:left w:val="single" w:sz="4" w:space="0" w:color="E2E8F0"/>
              <w:bottom w:val="single" w:sz="4" w:space="0" w:color="E2E8F0"/>
              <w:right w:val="single" w:sz="4" w:space="0" w:color="E2E8F0"/>
            </w:tcBorders>
            <w:tcMar>
              <w:top w:w="70" w:type="dxa"/>
              <w:start w:w="130" w:type="dxa"/>
              <w:bottom w:w="70" w:type="dxa"/>
              <w:end w:w="130" w:type="dxa"/>
            </w:tcMar>
            <w:shd w:fill="FBFCFE"/>
          </w:tcPr>
          <w:p>
            <w:r>
              <w:rPr>
                <w:rFonts w:ascii="Arial" w:hAnsi="Arial"/>
                <w:b w:val="0"/>
                <w:color w:val="475569"/>
                <w:sz w:val="17"/>
              </w:rPr>
              <w:t>Agreement Section</w:t>
            </w:r>
          </w:p>
        </w:tc>
      </w:tr>
    </w:tbl>
    <w:p>
      <w:r>
        <w:br w:type="page"/>
      </w:r>
    </w:p>
    <w:p>
      <w:pPr>
        <w:spacing w:before="0" w:after="140" w:line="259" w:lineRule="auto"/>
      </w:pPr>
      <w:r>
        <w:rPr>
          <w:b/>
          <w:i w:val="0"/>
        </w:rPr>
        <w:t>This BEOFlow Ownership and Participation Agreement</w:t>
      </w:r>
      <w:r>
        <w:rPr>
          <w:b w:val="0"/>
          <w:i w:val="0"/>
        </w:rPr>
        <w:t xml:space="preserve"> (this “Agreement”) is entered into as of the Effective Date by and among </w:t>
      </w:r>
      <w:r>
        <w:rPr>
          <w:b/>
          <w:i w:val="0"/>
        </w:rPr>
        <w:t>Bastida Systems LLC</w:t>
      </w:r>
      <w:r>
        <w:rPr>
          <w:b w:val="0"/>
          <w:i w:val="0"/>
        </w:rPr>
        <w:t xml:space="preserve">, a Nevada limited liability company (the “Company”), </w:t>
      </w:r>
      <w:r>
        <w:rPr>
          <w:b/>
          <w:i w:val="0"/>
        </w:rPr>
        <w:t>David Ramirez Bastida</w:t>
      </w:r>
      <w:r>
        <w:rPr>
          <w:b w:val="0"/>
          <w:i w:val="0"/>
        </w:rPr>
        <w:t xml:space="preserve"> (“David”), and </w:t>
      </w:r>
      <w:r>
        <w:rPr>
          <w:b/>
          <w:i w:val="0"/>
        </w:rPr>
        <w:t>Rodrigo Ramirez Bastida</w:t>
      </w:r>
      <w:r>
        <w:rPr>
          <w:b w:val="0"/>
          <w:i w:val="0"/>
        </w:rPr>
        <w:t xml:space="preserve"> (“Rodrigo”). The Company, David, and Rodrigo may be referred to individually as a “Party” and collectively as the “Parties.”</w:t>
      </w:r>
    </w:p>
    <w:p>
      <w:pPr>
        <w:pStyle w:val="Heading1"/>
      </w:pPr>
      <w:r>
        <w:t>Recitals</w:t>
      </w:r>
    </w:p>
    <w:p>
      <w:pPr>
        <w:spacing w:before="0" w:after="100" w:line="259" w:lineRule="auto"/>
      </w:pPr>
      <w:r>
        <w:t>WHEREAS, the Company is the parent business and technology ecosystem through which BEOFlow was conceived, designed, and initially developed;</w:t>
      </w:r>
    </w:p>
    <w:p>
      <w:pPr>
        <w:spacing w:before="0" w:after="100" w:line="259" w:lineRule="auto"/>
      </w:pPr>
      <w:r>
        <w:t>WHEREAS, BEOFlow is a technology project, product line, brand, software platform, business opportunity, and related set of assets developed within the Bastida Systems ecosystem;</w:t>
      </w:r>
    </w:p>
    <w:p>
      <w:pPr>
        <w:spacing w:before="0" w:after="100" w:line="259" w:lineRule="auto"/>
      </w:pPr>
      <w:r>
        <w:t>WHEREAS, Rodrigo will serve as the operating owner and principal project lead for BEOFlow, with authority over day-to-day operations, product development priorities, customer activity, and growth execution, subject to the limitations set forth in this Agreement;</w:t>
      </w:r>
    </w:p>
    <w:p>
      <w:pPr>
        <w:spacing w:before="0" w:after="100" w:line="259" w:lineRule="auto"/>
      </w:pPr>
      <w:r>
        <w:t>WHEREAS, David will participate primarily as designer, UX/UI contributor, technology advisor, and strategic consultant and will not be responsible for BEOFlow’s day-to-day operations unless separately agreed in writing; and</w:t>
      </w:r>
    </w:p>
    <w:p>
      <w:pPr>
        <w:spacing w:before="0" w:after="100" w:line="259" w:lineRule="auto"/>
      </w:pPr>
      <w:r>
        <w:t>WHEREAS, the Parties desire to memorialize the economic participation, operating authority, intellectual property administration, confidentiality duties, transfer restrictions, and dispute resolution procedures applicable to BEOFlow.</w:t>
      </w:r>
    </w:p>
    <w:p>
      <w:pPr>
        <w:pStyle w:val="Heading1"/>
      </w:pPr>
      <w:r>
        <w:t>1. Object of the Agreement</w:t>
      </w:r>
    </w:p>
    <w:p>
      <w:pPr>
        <w:spacing w:before="0" w:after="120" w:line="259" w:lineRule="auto"/>
      </w:pPr>
      <w:r>
        <w:t>The object of this Agreement is to establish the internal ownership, operating, economic, and intellectual property structure for BEOFlow as a project and business line created within the Bastida Systems ecosystem.</w:t>
      </w:r>
    </w:p>
    <w:p>
      <w:pPr>
        <w:spacing w:before="0" w:after="120" w:line="259" w:lineRule="auto"/>
      </w:pPr>
      <w:r>
        <w:t>This Agreement is intended to document the Parties’ agreed business terms concerning BEOFlow, including Rodrigo’s operational control, David’s permanent ten percent (10%) economic participation, the Company’s role as parent entity, and the treatment of BEOFlow intellectual property and sale proceeds.</w:t>
      </w:r>
    </w:p>
    <w:p>
      <w:pPr>
        <w:spacing w:before="0" w:after="100" w:line="259" w:lineRule="auto"/>
      </w:pPr>
      <w:r>
        <w:rPr>
          <w:b/>
          <w:i w:val="0"/>
          <w:color w:val="0F172A"/>
        </w:rPr>
        <w:t>No automatic LLC membership amendment.</w:t>
      </w:r>
      <w:r>
        <w:rPr>
          <w:b w:val="0"/>
          <w:i w:val="0"/>
          <w:color w:val="0F172A"/>
        </w:rPr>
        <w:t xml:space="preserve"> Unless expressly stated in a separate written operating agreement or written amendment signed by all required parties, this Agreement creates contractual project-level economic rights and obligations and does not by itself issue, transfer, dilute, or amend membership interests in Bastida Systems LLC.</w:t>
      </w:r>
    </w:p>
    <w:p>
      <w:pPr>
        <w:pStyle w:val="Heading1"/>
      </w:pPr>
      <w:r>
        <w:t>2. Definitions</w:t>
      </w:r>
    </w:p>
    <w:tbl>
      <w:tblPr>
        <w:tblW w:type="dxa" w:w="9360"/>
        <w:tblLook w:firstColumn="1" w:firstRow="1" w:lastColumn="0" w:lastRow="0" w:noHBand="0" w:noVBand="1" w:val="04A0"/>
        <w:jc w:val="left"/>
        <w:tblLayout w:type="fixed"/>
      </w:tblPr>
      <w:tblGrid>
        <w:gridCol w:w="4824"/>
        <w:gridCol w:w="4824"/>
      </w:tblGrid>
      <w:tr>
        <w:tc>
          <w:tcPr>
            <w:tcW w:type="dxa" w:w="4824"/>
            <w:shd w:fill="EEF7F4"/>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9"/>
              </w:rPr>
              <w:t>Defined Term</w:t>
            </w:r>
          </w:p>
        </w:tc>
        <w:tc>
          <w:tcPr>
            <w:tcW w:type="dxa" w:w="4824"/>
            <w:shd w:fill="EEF7F4"/>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9"/>
              </w:rPr>
              <w:t>Meaning</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Agreement</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This BEOFlow Ownership and Participation Agreement, including its exhibits and any written amendments signed by the Parties.</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BEOFlow</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The technology project, product, brand, software platform, business line, customer opportunity, documentation, operational materials, and related assets known as BEOFlow.</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Company</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Bastida Systems LLC, a Nevada limited liability company, including its successors and permitted assigns.</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Project Assets</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All names, brands, logos, UI/UX designs, source code, object code, scripts, documentation, technical architecture, data schemas, customer materials, business plans, domain names, accounts, workflows, presentations, designs, files, and other assets developed for or used in BEOFlow.</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Project IP</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All intellectual property rights in or relating to BEOFlow, including copyrights, trademarks, trade secrets, know-how, designs, software, documentation, inventions, and derivative works.</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Net Project Profits</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BEOFlow gross revenues actually received, less ordinary and necessary BEOFlow operating expenses, third-party costs, payment processing costs, taxes allocated to BEOFlow, refunds, chargebacks, approved reserves, and other documented costs reasonably attributable to BEOFlow.</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Net Sale Proceeds</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Cash, equity, earn-out, royalty, license fee, or other consideration actually received from a Sale Transaction, less transaction costs, taxes, debts, required escrows, and other direct costs of the transaction.</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Sale Transaction</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Any sale, transfer, merger, spin-off, assignment, exclusive license, change of control, or disposition of all or a material portion of BEOFlow, the Project Assets, Project IP, or BEOFlow economic rights.</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Operating Owner</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Rodrigo’s project-level role as the principal operational leader of BEOFlow, subject to this Agreement and applicable Company governance.</w:t>
            </w:r>
          </w:p>
        </w:tc>
      </w:tr>
      <w:tr>
        <w:tc>
          <w:tcPr>
            <w:tcW w:type="dxa" w:w="205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Economic Participation</w:t>
            </w:r>
          </w:p>
        </w:tc>
        <w:tc>
          <w:tcPr>
            <w:tcW w:type="dxa" w:w="731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The contractual right to receive a percentage of Net Project Profits and Net Sale Proceeds as provided in this Agreement.</w:t>
            </w:r>
          </w:p>
        </w:tc>
      </w:tr>
    </w:tbl>
    <w:p>
      <w:pPr>
        <w:pStyle w:val="Heading1"/>
      </w:pPr>
      <w:r>
        <w:t>3. Project and Ownership Structure</w:t>
      </w:r>
    </w:p>
    <w:p>
      <w:pPr>
        <w:spacing w:before="0" w:after="100" w:line="259" w:lineRule="auto"/>
      </w:pPr>
      <w:r>
        <w:rPr>
          <w:b/>
          <w:i w:val="0"/>
          <w:color w:val="0F172A"/>
        </w:rPr>
        <w:t>3.1 Parent company.</w:t>
      </w:r>
      <w:r>
        <w:rPr>
          <w:b w:val="0"/>
          <w:i w:val="0"/>
          <w:color w:val="0F172A"/>
        </w:rPr>
        <w:t xml:space="preserve"> Bastida Systems LLC is and shall remain the parent company and primary legal ecosystem under which BEOFlow was created and through which BEOFlow may be administered, unless the Parties later execute a written spin-off, assignment, operating agreement, or entity formation document.</w:t>
      </w:r>
    </w:p>
    <w:p>
      <w:pPr>
        <w:spacing w:before="0" w:after="100" w:line="259" w:lineRule="auto"/>
      </w:pPr>
      <w:r>
        <w:rPr>
          <w:b/>
          <w:i w:val="0"/>
          <w:color w:val="0F172A"/>
        </w:rPr>
        <w:t>3.2 Project-level structure.</w:t>
      </w:r>
      <w:r>
        <w:rPr>
          <w:b w:val="0"/>
          <w:i w:val="0"/>
          <w:color w:val="0F172A"/>
        </w:rPr>
        <w:t xml:space="preserve"> BEOFlow is acknowledged as an internal project, product line, and business opportunity of the Company. The Parties may later form a separate subsidiary, series, joint venture, or project company for BEOFlow, provided that any such structure preserves David’s ten percent (10%) Economic Participation unless David expressly agrees otherwise in writing.</w:t>
      </w:r>
    </w:p>
    <w:p>
      <w:pPr>
        <w:spacing w:before="0" w:after="100" w:line="259" w:lineRule="auto"/>
      </w:pPr>
      <w:r>
        <w:rPr>
          <w:b/>
          <w:i w:val="0"/>
          <w:color w:val="0F172A"/>
        </w:rPr>
        <w:t>3.3 Rodrigo’s operational ownership.</w:t>
      </w:r>
      <w:r>
        <w:rPr>
          <w:b w:val="0"/>
          <w:i w:val="0"/>
          <w:color w:val="0F172A"/>
        </w:rPr>
        <w:t xml:space="preserve"> Rodrigo shall be recognized internally as the Operating Owner and principal director of BEOFlow, with authority to manage day-to-day operations, product execution, client relationships, implementation, customer success, and ordinary-course growth decisions.</w:t>
      </w:r>
    </w:p>
    <w:p>
      <w:pPr>
        <w:spacing w:before="0" w:after="100" w:line="259" w:lineRule="auto"/>
      </w:pPr>
      <w:r>
        <w:rPr>
          <w:b/>
          <w:i w:val="0"/>
          <w:color w:val="0F172A"/>
        </w:rPr>
        <w:t>3.4 David’s reserved economic interest.</w:t>
      </w:r>
      <w:r>
        <w:rPr>
          <w:b w:val="0"/>
          <w:i w:val="0"/>
          <w:color w:val="0F172A"/>
        </w:rPr>
        <w:t xml:space="preserve"> David shall permanently retain a ten percent (10%) Economic Participation in BEOFlow as recognition of his contributions to conceptualization, UX/UI design, brand development, strategic planning, and technology infrastructure.</w:t>
      </w:r>
    </w:p>
    <w:p>
      <w:pPr>
        <w:spacing w:before="0" w:after="100" w:line="259" w:lineRule="auto"/>
      </w:pPr>
      <w:r>
        <w:rPr>
          <w:b/>
          <w:i w:val="0"/>
          <w:color w:val="0F172A"/>
        </w:rPr>
        <w:t>3.5 No dilution without written consent.</w:t>
      </w:r>
      <w:r>
        <w:rPr>
          <w:b w:val="0"/>
          <w:i w:val="0"/>
          <w:color w:val="0F172A"/>
        </w:rPr>
        <w:t xml:space="preserve"> David’s ten percent (10%) Economic Participation shall not be diluted, reduced, cancelled, waived, assigned away, or subordinated by growth, financing, internal restructuring, product expansion, customer growth, or Sale Transaction except by a written instrument signed by David and Rodrigo and, if required, the Company.</w:t>
      </w:r>
    </w:p>
    <w:p>
      <w:pPr>
        <w:pStyle w:val="Heading1"/>
      </w:pPr>
      <w:r>
        <w:t>4. Roles, Authority, and Responsibilities</w:t>
      </w:r>
    </w:p>
    <w:p>
      <w:pPr>
        <w:spacing w:before="0" w:after="100" w:line="259" w:lineRule="auto"/>
      </w:pPr>
      <w:r>
        <w:rPr>
          <w:b/>
          <w:i w:val="0"/>
          <w:color w:val="0F172A"/>
        </w:rPr>
        <w:t>4.1 Rodrigo’s role.</w:t>
      </w:r>
      <w:r>
        <w:rPr>
          <w:b w:val="0"/>
          <w:i w:val="0"/>
          <w:color w:val="0F172A"/>
        </w:rPr>
        <w:t xml:space="preserve"> Rodrigo shall have primary authority and responsibility over BEOFlow’s ordinary-course business operations, product management, development priorities, customer pipeline, marketing execution, vendor coordination, customer support, implementation, staffing recommendations, and growth strategy.</w:t>
      </w:r>
    </w:p>
    <w:p>
      <w:pPr>
        <w:spacing w:before="0" w:after="100" w:line="259" w:lineRule="auto"/>
      </w:pPr>
      <w:r>
        <w:rPr>
          <w:b/>
          <w:i w:val="0"/>
          <w:color w:val="0F172A"/>
        </w:rPr>
        <w:t>4.2 David’s role.</w:t>
      </w:r>
      <w:r>
        <w:rPr>
          <w:b w:val="0"/>
          <w:i w:val="0"/>
          <w:color w:val="0F172A"/>
        </w:rPr>
        <w:t xml:space="preserve"> David shall serve primarily as designer, UX/UI contributor, technology advisor, and strategic consultant for BEOFlow. David may support product design, brand direction, technical architecture, strategic planning, and investor or partner presentations as reasonably requested and mutually agreed.</w:t>
      </w:r>
    </w:p>
    <w:p>
      <w:pPr>
        <w:spacing w:before="0" w:after="100" w:line="259" w:lineRule="auto"/>
      </w:pPr>
      <w:r>
        <w:rPr>
          <w:b/>
          <w:i w:val="0"/>
          <w:color w:val="0F172A"/>
        </w:rPr>
        <w:t>4.3 No daily operating duty for David.</w:t>
      </w:r>
      <w:r>
        <w:rPr>
          <w:b w:val="0"/>
          <w:i w:val="0"/>
          <w:color w:val="0F172A"/>
        </w:rPr>
        <w:t xml:space="preserve"> David shall not be responsible for BEOFlow’s daily operations, customer service, sales execution, staffing, scheduling, billing follow-up, routine product management, or customer commitments unless David expressly accepts a specific responsibility in writing.</w:t>
      </w:r>
    </w:p>
    <w:p>
      <w:pPr>
        <w:spacing w:before="0" w:after="100" w:line="259" w:lineRule="auto"/>
      </w:pPr>
      <w:r>
        <w:rPr>
          <w:b/>
          <w:i w:val="0"/>
          <w:color w:val="0F172A"/>
        </w:rPr>
        <w:t>4.4 Major decisions.</w:t>
      </w:r>
      <w:r>
        <w:rPr>
          <w:b w:val="0"/>
          <w:i w:val="0"/>
          <w:color w:val="0F172A"/>
        </w:rPr>
        <w:t xml:space="preserve"> The following actions require prior written consent of both David and Rodrigo and any Company approval required under applicable governance documents: sale or transfer of BEOFlow, assignment of Project IP outside the Company, issuance of rights that would reduce David’s Economic Participation, admission of third-party equity holders in BEOFlow, material debt secured by Project Assets, or abandonment of the BEOFlow brand.</w:t>
      </w:r>
    </w:p>
    <w:p>
      <w:pPr>
        <w:spacing w:before="0" w:after="100" w:line="259" w:lineRule="auto"/>
      </w:pPr>
      <w:r>
        <w:rPr>
          <w:b/>
          <w:i w:val="0"/>
          <w:color w:val="0F172A"/>
        </w:rPr>
        <w:t>4.5 Records.</w:t>
      </w:r>
      <w:r>
        <w:rPr>
          <w:b w:val="0"/>
          <w:i w:val="0"/>
          <w:color w:val="0F172A"/>
        </w:rPr>
        <w:t xml:space="preserve"> Rodrigo shall cause reasonable books and records to be maintained for BEOFlow revenues, expenses, customer contracts, material assets, and distributions. David shall have reasonable access to such records upon written request for the purpose of confirming his Economic Participation.</w:t>
      </w:r>
    </w:p>
    <w:p>
      <w:pPr>
        <w:pStyle w:val="Heading1"/>
      </w:pPr>
      <w:r>
        <w:t>5. Economic Participation</w:t>
      </w:r>
    </w:p>
    <w:p>
      <w:pPr>
        <w:spacing w:before="0" w:after="100" w:line="259" w:lineRule="auto"/>
      </w:pPr>
      <w:r>
        <w:rPr>
          <w:b/>
          <w:i w:val="0"/>
          <w:color w:val="0F172A"/>
        </w:rPr>
        <w:t>5.1 David participation.</w:t>
      </w:r>
      <w:r>
        <w:rPr>
          <w:b w:val="0"/>
          <w:i w:val="0"/>
          <w:color w:val="0F172A"/>
        </w:rPr>
        <w:t xml:space="preserve"> David shall hold a permanent ten percent (10%) Economic Participation in BEOFlow.</w:t>
      </w:r>
    </w:p>
    <w:p>
      <w:pPr>
        <w:spacing w:before="0" w:after="100" w:line="259" w:lineRule="auto"/>
      </w:pPr>
      <w:r>
        <w:rPr>
          <w:b/>
          <w:i w:val="0"/>
          <w:color w:val="0F172A"/>
        </w:rPr>
        <w:t>5.2 Rodrigo participation.</w:t>
      </w:r>
      <w:r>
        <w:rPr>
          <w:b w:val="0"/>
          <w:i w:val="0"/>
          <w:color w:val="0F172A"/>
        </w:rPr>
        <w:t xml:space="preserve"> Subject to David’s ten percent (10%) Economic Participation and the Company’s legal ownership and governance rights, Rodrigo shall hold the remaining ninety percent (90%) project-level economic participation in BEOFlow, unless otherwise modified in a signed writing.</w:t>
      </w:r>
    </w:p>
    <w:p>
      <w:pPr>
        <w:spacing w:before="0" w:after="100" w:line="259" w:lineRule="auto"/>
      </w:pPr>
      <w:r>
        <w:rPr>
          <w:b/>
          <w:i w:val="0"/>
          <w:color w:val="0F172A"/>
        </w:rPr>
        <w:t>5.3 Recognition of contribution.</w:t>
      </w:r>
      <w:r>
        <w:rPr>
          <w:b w:val="0"/>
          <w:i w:val="0"/>
          <w:color w:val="0F172A"/>
        </w:rPr>
        <w:t xml:space="preserve"> David’s ten percent (10%) Economic Participation recognizes contributions in conceptualization, UX/UI design, brand direction, strategic development, product architecture, infrastructure planning, and creation of the BEOFlow opportunity within the Bastida Systems ecosystem.</w:t>
      </w:r>
    </w:p>
    <w:p>
      <w:pPr>
        <w:spacing w:before="0" w:after="100" w:line="259" w:lineRule="auto"/>
      </w:pPr>
      <w:r>
        <w:rPr>
          <w:b/>
          <w:i w:val="0"/>
          <w:color w:val="0F172A"/>
        </w:rPr>
        <w:t>5.4 No forfeiture by non-operation.</w:t>
      </w:r>
      <w:r>
        <w:rPr>
          <w:b w:val="0"/>
          <w:i w:val="0"/>
          <w:color w:val="0F172A"/>
        </w:rPr>
        <w:t xml:space="preserve"> David’s lack of daily operating responsibility shall not reduce or forfeit David’s ten percent (10%) Economic Participation.</w:t>
      </w:r>
    </w:p>
    <w:p>
      <w:pPr>
        <w:pStyle w:val="Heading1"/>
      </w:pPr>
      <w:r>
        <w:t>6. Distribution of Profits</w:t>
      </w:r>
    </w:p>
    <w:p>
      <w:pPr>
        <w:spacing w:before="0" w:after="100" w:line="259" w:lineRule="auto"/>
      </w:pPr>
      <w:r>
        <w:rPr>
          <w:b/>
          <w:i w:val="0"/>
          <w:color w:val="0F172A"/>
        </w:rPr>
        <w:t>6.1 Distribution formula.</w:t>
      </w:r>
      <w:r>
        <w:rPr>
          <w:b w:val="0"/>
          <w:i w:val="0"/>
          <w:color w:val="0F172A"/>
        </w:rPr>
        <w:t xml:space="preserve"> Subject to cash availability, legal restrictions, approved reserves, taxes, and ordinary business needs, Net Project Profits shall be allocated ten percent (10%) to David and ninety percent (90%) to Rodrigo, unless otherwise agreed in a signed writing.</w:t>
      </w:r>
    </w:p>
    <w:p>
      <w:pPr>
        <w:spacing w:before="0" w:after="100" w:line="259" w:lineRule="auto"/>
      </w:pPr>
      <w:r>
        <w:rPr>
          <w:b/>
          <w:i w:val="0"/>
          <w:color w:val="0F172A"/>
        </w:rPr>
        <w:t>6.2 Timing.</w:t>
      </w:r>
      <w:r>
        <w:rPr>
          <w:b w:val="0"/>
          <w:i w:val="0"/>
          <w:color w:val="0F172A"/>
        </w:rPr>
        <w:t xml:space="preserve"> Distributions may be made monthly, quarterly, annually, or at another commercially reasonable interval determined by the Operating Owner and the Company, provided that distributions are applied consistently and are supported by reasonable BEOFlow financial records.</w:t>
      </w:r>
    </w:p>
    <w:p>
      <w:pPr>
        <w:spacing w:before="0" w:after="100" w:line="259" w:lineRule="auto"/>
      </w:pPr>
      <w:r>
        <w:rPr>
          <w:b/>
          <w:i w:val="0"/>
          <w:color w:val="0F172A"/>
        </w:rPr>
        <w:t>6.3 Reserves and expenses.</w:t>
      </w:r>
      <w:r>
        <w:rPr>
          <w:b w:val="0"/>
          <w:i w:val="0"/>
          <w:color w:val="0F172A"/>
        </w:rPr>
        <w:t xml:space="preserve"> Before distributions, BEOFlow may retain commercially reasonable reserves for taxes, refunds, chargebacks, hosting, third-party software, contractors, customer support, legal expenses, insurance, product development, and other ordinary-course costs.</w:t>
      </w:r>
    </w:p>
    <w:p>
      <w:pPr>
        <w:spacing w:before="0" w:after="100" w:line="259" w:lineRule="auto"/>
      </w:pPr>
      <w:r>
        <w:rPr>
          <w:b/>
          <w:i w:val="0"/>
          <w:color w:val="0F172A"/>
        </w:rPr>
        <w:t>6.4 Tax reporting.</w:t>
      </w:r>
      <w:r>
        <w:rPr>
          <w:b w:val="0"/>
          <w:i w:val="0"/>
          <w:color w:val="0F172A"/>
        </w:rPr>
        <w:t xml:space="preserve"> The Parties acknowledge that project economics, tax treatment, and accounting treatment should be reviewed by a qualified tax professional. This Agreement does not provide tax advice.</w:t>
      </w:r>
    </w:p>
    <w:p>
      <w:pPr>
        <w:pStyle w:val="Heading1"/>
      </w:pPr>
      <w:r>
        <w:t>7. Intellectual Property and Project Assets</w:t>
      </w:r>
    </w:p>
    <w:p>
      <w:pPr>
        <w:spacing w:before="0" w:after="100" w:line="259" w:lineRule="auto"/>
      </w:pPr>
      <w:r>
        <w:rPr>
          <w:b/>
          <w:i w:val="0"/>
          <w:color w:val="0F172A"/>
        </w:rPr>
        <w:t>7.1 Existing assets.</w:t>
      </w:r>
      <w:r>
        <w:rPr>
          <w:b w:val="0"/>
          <w:i w:val="0"/>
          <w:color w:val="0F172A"/>
        </w:rPr>
        <w:t xml:space="preserve"> The Parties acknowledge that the BEOFlow name, brand concepts, designs, software, documentation, workflows, product concepts, and related assets developed to date were created within the Bastida Systems ecosystem and are Project Assets.</w:t>
      </w:r>
    </w:p>
    <w:p>
      <w:pPr>
        <w:spacing w:before="0" w:after="100" w:line="259" w:lineRule="auto"/>
      </w:pPr>
      <w:r>
        <w:rPr>
          <w:b/>
          <w:i w:val="0"/>
          <w:color w:val="0F172A"/>
        </w:rPr>
        <w:t>7.2 Legal ownership and administration.</w:t>
      </w:r>
      <w:r>
        <w:rPr>
          <w:b w:val="0"/>
          <w:i w:val="0"/>
          <w:color w:val="0F172A"/>
        </w:rPr>
        <w:t xml:space="preserve"> Unless and until a written spin-off or assignment agreement states otherwise, legal title to the Project Assets and Project IP shall be held and administered by the Company for the benefit of BEOFlow and in accordance with this Agreement.</w:t>
      </w:r>
    </w:p>
    <w:p>
      <w:pPr>
        <w:spacing w:before="0" w:after="100" w:line="259" w:lineRule="auto"/>
      </w:pPr>
      <w:r>
        <w:rPr>
          <w:b/>
          <w:i w:val="0"/>
          <w:color w:val="0F172A"/>
        </w:rPr>
        <w:t>7.3 Operational use by Rodrigo.</w:t>
      </w:r>
      <w:r>
        <w:rPr>
          <w:b w:val="0"/>
          <w:i w:val="0"/>
          <w:color w:val="0F172A"/>
        </w:rPr>
        <w:t xml:space="preserve"> Rodrigo, as Operating Owner, shall have authority to use, administer, commercialize, improve, and direct the use of Project Assets and Project IP for BEOFlow’s ordinary-course business operations, customer delivery, development, and growth.</w:t>
      </w:r>
    </w:p>
    <w:p>
      <w:pPr>
        <w:spacing w:before="0" w:after="100" w:line="259" w:lineRule="auto"/>
      </w:pPr>
      <w:r>
        <w:rPr>
          <w:b/>
          <w:i w:val="0"/>
          <w:color w:val="0F172A"/>
        </w:rPr>
        <w:t>7.4 Assignment of contributions.</w:t>
      </w:r>
      <w:r>
        <w:rPr>
          <w:b w:val="0"/>
          <w:i w:val="0"/>
          <w:color w:val="0F172A"/>
        </w:rPr>
        <w:t xml:space="preserve"> To the extent any Party creates, authors, designs, codes, documents, improves, or contributes to Project IP after the Effective Date, such Party hereby assigns to the Company, for use in BEOFlow and subject to this Agreement, all right, title, and interest in such BEOFlow-related contribution, including all derivative works and improvements.</w:t>
      </w:r>
    </w:p>
    <w:p>
      <w:pPr>
        <w:spacing w:before="0" w:after="100" w:line="259" w:lineRule="auto"/>
      </w:pPr>
      <w:r>
        <w:rPr>
          <w:b/>
          <w:i w:val="0"/>
          <w:color w:val="0F172A"/>
        </w:rPr>
        <w:t>7.5 Restrictions.</w:t>
      </w:r>
      <w:r>
        <w:rPr>
          <w:b w:val="0"/>
          <w:i w:val="0"/>
          <w:color w:val="0F172A"/>
        </w:rPr>
        <w:t xml:space="preserve"> No Party may sell, license outside the ordinary course, pledge, assign, abandon, or transfer material Project IP or Project Assets in a manner that impairs BEOFlow or David’s ten percent (10%) Economic Participation without the written consent required under this Agreement.</w:t>
      </w:r>
    </w:p>
    <w:p>
      <w:pPr>
        <w:spacing w:before="0" w:after="100" w:line="259" w:lineRule="auto"/>
      </w:pPr>
      <w:r>
        <w:rPr>
          <w:b/>
          <w:i w:val="0"/>
          <w:color w:val="0F172A"/>
        </w:rPr>
        <w:t>7.6 Spin-off protection.</w:t>
      </w:r>
      <w:r>
        <w:rPr>
          <w:b w:val="0"/>
          <w:i w:val="0"/>
          <w:color w:val="0F172A"/>
        </w:rPr>
        <w:t xml:space="preserve"> If BEOFlow is contributed, assigned, licensed, or transferred to a separate entity, the receiving entity must assume this Agreement or execute equivalent documents preserving David’s ten percent (10%) Economic Participation and Rodrigo’s operating role unless both Parties agree otherwise in writing.</w:t>
      </w:r>
    </w:p>
    <w:p>
      <w:pPr>
        <w:pStyle w:val="Heading1"/>
      </w:pPr>
      <w:r>
        <w:t>8. Confidentiality</w:t>
      </w:r>
    </w:p>
    <w:p>
      <w:pPr>
        <w:spacing w:before="0" w:after="100" w:line="259" w:lineRule="auto"/>
      </w:pPr>
      <w:r>
        <w:rPr>
          <w:b/>
          <w:i w:val="0"/>
          <w:color w:val="0F172A"/>
        </w:rPr>
        <w:t>8.1 Confidential information.</w:t>
      </w:r>
      <w:r>
        <w:rPr>
          <w:b w:val="0"/>
          <w:i w:val="0"/>
          <w:color w:val="0F172A"/>
        </w:rPr>
        <w:t xml:space="preserve"> Confidential Information includes non-public information relating to BEOFlow, the Company, customers, prospects, pricing, technical architecture, source code, product roadmap, designs, financial information, vendors, business strategy, credentials, and Project Assets.</w:t>
      </w:r>
    </w:p>
    <w:p>
      <w:pPr>
        <w:spacing w:before="0" w:after="100" w:line="259" w:lineRule="auto"/>
      </w:pPr>
      <w:r>
        <w:rPr>
          <w:b/>
          <w:i w:val="0"/>
          <w:color w:val="0F172A"/>
        </w:rPr>
        <w:t>8.2 Duty of confidentiality.</w:t>
      </w:r>
      <w:r>
        <w:rPr>
          <w:b w:val="0"/>
          <w:i w:val="0"/>
          <w:color w:val="0F172A"/>
        </w:rPr>
        <w:t xml:space="preserve"> Each Party shall protect Confidential Information with at least reasonable care and shall not disclose Confidential Information except as required for BEOFlow operations, professional advisors, legal compliance, financing or sale review under confidentiality obligations, or as authorized in writing.</w:t>
      </w:r>
    </w:p>
    <w:p>
      <w:pPr>
        <w:spacing w:before="0" w:after="100" w:line="259" w:lineRule="auto"/>
      </w:pPr>
      <w:r>
        <w:rPr>
          <w:b/>
          <w:i w:val="0"/>
          <w:color w:val="0F172A"/>
        </w:rPr>
        <w:t>8.3 Exclusions.</w:t>
      </w:r>
      <w:r>
        <w:rPr>
          <w:b w:val="0"/>
          <w:i w:val="0"/>
          <w:color w:val="0F172A"/>
        </w:rPr>
        <w:t xml:space="preserve"> Confidential Information does not include information that becomes publicly available through no breach of this Agreement, was lawfully known before disclosure, is independently developed without use of Confidential Information, or is lawfully received from a third party without confidentiality restrictions.</w:t>
      </w:r>
    </w:p>
    <w:p>
      <w:pPr>
        <w:spacing w:before="0" w:after="100" w:line="259" w:lineRule="auto"/>
      </w:pPr>
      <w:r>
        <w:rPr>
          <w:b/>
          <w:i w:val="0"/>
          <w:color w:val="0F172A"/>
        </w:rPr>
        <w:t>8.4 Injunctive relief.</w:t>
      </w:r>
      <w:r>
        <w:rPr>
          <w:b w:val="0"/>
          <w:i w:val="0"/>
          <w:color w:val="0F172A"/>
        </w:rPr>
        <w:t xml:space="preserve"> Unauthorized disclosure or misuse of Confidential Information may cause irreparable harm. The Company and affected Party may seek injunctive relief in addition to any other remedies.</w:t>
      </w:r>
    </w:p>
    <w:p>
      <w:pPr>
        <w:pStyle w:val="Heading1"/>
      </w:pPr>
      <w:r>
        <w:t>9. Reasonable Non-Competition and Non-Solicitation</w:t>
      </w:r>
    </w:p>
    <w:p>
      <w:pPr>
        <w:spacing w:before="0" w:after="100" w:line="259" w:lineRule="auto"/>
      </w:pPr>
      <w:r>
        <w:rPr>
          <w:b/>
          <w:i w:val="0"/>
          <w:color w:val="0F172A"/>
        </w:rPr>
        <w:t>9.1 Purpose and reasonableness.</w:t>
      </w:r>
      <w:r>
        <w:rPr>
          <w:b w:val="0"/>
          <w:i w:val="0"/>
          <w:color w:val="0F172A"/>
        </w:rPr>
        <w:t xml:space="preserve"> The restrictions in this Section are intended to protect Confidential Information, customer relationships, Project IP, and the value of BEOFlow. The Parties intend this Section to be interpreted narrowly and only to the maximum extent permitted by Nevada law and other applicable law.</w:t>
      </w:r>
    </w:p>
    <w:p>
      <w:pPr>
        <w:spacing w:before="0" w:after="100" w:line="259" w:lineRule="auto"/>
      </w:pPr>
      <w:r>
        <w:rPr>
          <w:b/>
          <w:i w:val="0"/>
          <w:color w:val="0F172A"/>
        </w:rPr>
        <w:t>9.2 Limited non-competition.</w:t>
      </w:r>
      <w:r>
        <w:rPr>
          <w:b w:val="0"/>
          <w:i w:val="0"/>
          <w:color w:val="0F172A"/>
        </w:rPr>
        <w:t xml:space="preserve"> During the term of this Agreement and for twelve (12) months after a Party ceases active involvement with BEOFlow, such Party shall not use Confidential Information or Project IP to own, build, operate, sell, or control a directly competing software product that is substantially similar to BEOFlow and targets BEOFlow’s active customers or active sales pipeline.</w:t>
      </w:r>
    </w:p>
    <w:p>
      <w:pPr>
        <w:spacing w:before="0" w:after="100" w:line="259" w:lineRule="auto"/>
      </w:pPr>
      <w:r>
        <w:rPr>
          <w:b/>
          <w:i w:val="0"/>
          <w:color w:val="0F172A"/>
        </w:rPr>
        <w:t>9.3 Non-solicitation.</w:t>
      </w:r>
      <w:r>
        <w:rPr>
          <w:b w:val="0"/>
          <w:i w:val="0"/>
          <w:color w:val="0F172A"/>
        </w:rPr>
        <w:t xml:space="preserve"> During the same period, no Party shall knowingly solicit BEOFlow’s active customers, active prospects, contractors, vendors, or personnel for a directly competing product through use of Confidential Information or Project IP.</w:t>
      </w:r>
    </w:p>
    <w:p>
      <w:pPr>
        <w:spacing w:before="0" w:after="100" w:line="259" w:lineRule="auto"/>
      </w:pPr>
      <w:r>
        <w:rPr>
          <w:b/>
          <w:i w:val="0"/>
          <w:color w:val="0F172A"/>
        </w:rPr>
        <w:t>9.4 Exclusions.</w:t>
      </w:r>
      <w:r>
        <w:rPr>
          <w:b w:val="0"/>
          <w:i w:val="0"/>
          <w:color w:val="0F172A"/>
        </w:rPr>
        <w:t xml:space="preserve"> This Section does not prohibit unrelated employment, unrelated software work, use of general skills and experience, passive ownership of less than five percent (5%) of a publicly traded company, work outside BEOFlow’s product category, or activities approved in writing by the other Party.</w:t>
      </w:r>
    </w:p>
    <w:p>
      <w:pPr>
        <w:spacing w:before="0" w:after="100" w:line="259" w:lineRule="auto"/>
      </w:pPr>
      <w:r>
        <w:rPr>
          <w:b/>
          <w:i w:val="0"/>
          <w:color w:val="0F172A"/>
        </w:rPr>
        <w:t>9.5 Reformation.</w:t>
      </w:r>
      <w:r>
        <w:rPr>
          <w:b w:val="0"/>
          <w:i w:val="0"/>
          <w:color w:val="0F172A"/>
        </w:rPr>
        <w:t xml:space="preserve"> If a court or arbitrator determines that any restriction is overbroad, the Parties authorize the restriction to be modified, limited, or reformed to the maximum extent enforceable under applicable law rather than invalidated in its entirety.</w:t>
      </w:r>
    </w:p>
    <w:p>
      <w:pPr>
        <w:pStyle w:val="Heading1"/>
      </w:pPr>
      <w:r>
        <w:t>10. Sale, Transfer, or Spin-Off of BEOFlow</w:t>
      </w:r>
    </w:p>
    <w:p>
      <w:pPr>
        <w:spacing w:before="0" w:after="100" w:line="259" w:lineRule="auto"/>
      </w:pPr>
      <w:r>
        <w:rPr>
          <w:b/>
          <w:i w:val="0"/>
          <w:color w:val="0F172A"/>
        </w:rPr>
        <w:t>10.1 Sale proceeds.</w:t>
      </w:r>
      <w:r>
        <w:rPr>
          <w:b w:val="0"/>
          <w:i w:val="0"/>
          <w:color w:val="0F172A"/>
        </w:rPr>
        <w:t xml:space="preserve"> If BEOFlow is sold, transferred, spun off, merged, assigned, exclusively licensed, or otherwise disposed of in a Sale Transaction, David shall be entitled to receive ten percent (10%) of Net Sale Proceeds attributable to BEOFlow.</w:t>
      </w:r>
    </w:p>
    <w:p>
      <w:pPr>
        <w:spacing w:before="0" w:after="100" w:line="259" w:lineRule="auto"/>
      </w:pPr>
      <w:r>
        <w:rPr>
          <w:b/>
          <w:i w:val="0"/>
          <w:color w:val="0F172A"/>
        </w:rPr>
        <w:t>10.2 Forms of consideration.</w:t>
      </w:r>
      <w:r>
        <w:rPr>
          <w:b w:val="0"/>
          <w:i w:val="0"/>
          <w:color w:val="0F172A"/>
        </w:rPr>
        <w:t xml:space="preserve"> David’s ten percent (10%) share shall apply to cash, equity, earn-outs, royalties, license fees, seller notes, deferred payments, assumption consideration, or other economic value actually received from the Sale Transaction, net of permitted deductions.</w:t>
      </w:r>
    </w:p>
    <w:p>
      <w:pPr>
        <w:spacing w:before="0" w:after="100" w:line="259" w:lineRule="auto"/>
      </w:pPr>
      <w:r>
        <w:rPr>
          <w:b/>
          <w:i w:val="0"/>
          <w:color w:val="0F172A"/>
        </w:rPr>
        <w:t>10.3 Closing protection.</w:t>
      </w:r>
      <w:r>
        <w:rPr>
          <w:b w:val="0"/>
          <w:i w:val="0"/>
          <w:color w:val="0F172A"/>
        </w:rPr>
        <w:t xml:space="preserve"> No Sale Transaction may be structured to avoid, reduce, or delay David’s ten percent (10%) entitlement. Any buyer, assignee, licensee, or successor should be required to acknowledge or assume the applicable obligations of this Agreement when reasonably necessary to protect David’s rights.</w:t>
      </w:r>
    </w:p>
    <w:p>
      <w:pPr>
        <w:spacing w:before="0" w:after="100" w:line="259" w:lineRule="auto"/>
      </w:pPr>
      <w:r>
        <w:rPr>
          <w:b/>
          <w:i w:val="0"/>
          <w:color w:val="0F172A"/>
        </w:rPr>
        <w:t>10.4 Notice and documents.</w:t>
      </w:r>
      <w:r>
        <w:rPr>
          <w:b w:val="0"/>
          <w:i w:val="0"/>
          <w:color w:val="0F172A"/>
        </w:rPr>
        <w:t xml:space="preserve"> Rodrigo and the Company shall provide David with reasonable written notice of a proposed Sale Transaction and reasonable access to transaction documents necessary to verify Net Sale Proceeds and David’s ten percent (10%) share.</w:t>
      </w:r>
    </w:p>
    <w:p>
      <w:pPr>
        <w:spacing w:before="0" w:after="100" w:line="259" w:lineRule="auto"/>
      </w:pPr>
      <w:r>
        <w:rPr>
          <w:b/>
          <w:i w:val="0"/>
          <w:color w:val="0F172A"/>
        </w:rPr>
        <w:t>10.5 Partial sale.</w:t>
      </w:r>
      <w:r>
        <w:rPr>
          <w:b w:val="0"/>
          <w:i w:val="0"/>
          <w:color w:val="0F172A"/>
        </w:rPr>
        <w:t xml:space="preserve"> If only a portion of BEOFlow is sold or licensed, David shall receive ten percent (10%) of the Net Sale Proceeds attributable to the portion sold or licensed.</w:t>
      </w:r>
    </w:p>
    <w:p>
      <w:pPr>
        <w:pStyle w:val="Heading1"/>
      </w:pPr>
      <w:r>
        <w:t>11. Dispute Resolution</w:t>
      </w:r>
    </w:p>
    <w:p>
      <w:pPr>
        <w:spacing w:before="0" w:after="100" w:line="259" w:lineRule="auto"/>
      </w:pPr>
      <w:r>
        <w:rPr>
          <w:b/>
          <w:i w:val="0"/>
          <w:color w:val="0F172A"/>
        </w:rPr>
        <w:t>11.1 Good-faith negotiation.</w:t>
      </w:r>
      <w:r>
        <w:rPr>
          <w:b w:val="0"/>
          <w:i w:val="0"/>
          <w:color w:val="0F172A"/>
        </w:rPr>
        <w:t xml:space="preserve"> Before commencing formal proceedings, the Parties shall attempt in good faith to resolve any dispute through direct written notice and at least one meeting or video conference between David and Rodrigo.</w:t>
      </w:r>
    </w:p>
    <w:p>
      <w:pPr>
        <w:spacing w:before="0" w:after="100" w:line="259" w:lineRule="auto"/>
      </w:pPr>
      <w:r>
        <w:rPr>
          <w:b/>
          <w:i w:val="0"/>
          <w:color w:val="0F172A"/>
        </w:rPr>
        <w:t>11.2 Mediation.</w:t>
      </w:r>
      <w:r>
        <w:rPr>
          <w:b w:val="0"/>
          <w:i w:val="0"/>
          <w:color w:val="0F172A"/>
        </w:rPr>
        <w:t xml:space="preserve"> If the dispute is not resolved within thirty (30) days after written notice, either Party may request non-binding mediation in Clark County, Nevada, or by remote video mediation if the Parties agree.</w:t>
      </w:r>
    </w:p>
    <w:p>
      <w:pPr>
        <w:spacing w:before="0" w:after="100" w:line="259" w:lineRule="auto"/>
      </w:pPr>
      <w:r>
        <w:rPr>
          <w:b/>
          <w:i w:val="0"/>
          <w:color w:val="0F172A"/>
        </w:rPr>
        <w:t>11.3 Arbitration or court relief.</w:t>
      </w:r>
      <w:r>
        <w:rPr>
          <w:b w:val="0"/>
          <w:i w:val="0"/>
          <w:color w:val="0F172A"/>
        </w:rPr>
        <w:t xml:space="preserve"> If mediation fails, disputes shall be resolved by binding arbitration in Clark County, Nevada under commercially reasonable arbitration rules selected by agreement of the Parties. Either Party may seek temporary, preliminary, or permanent injunctive relief in a court of competent jurisdiction for confidentiality, intellectual property, or emergency equitable matters.</w:t>
      </w:r>
    </w:p>
    <w:p>
      <w:pPr>
        <w:spacing w:before="0" w:after="100" w:line="259" w:lineRule="auto"/>
      </w:pPr>
      <w:r>
        <w:rPr>
          <w:b/>
          <w:i w:val="0"/>
          <w:color w:val="0F172A"/>
        </w:rPr>
        <w:t>11.4 Attorneys’ fees.</w:t>
      </w:r>
      <w:r>
        <w:rPr>
          <w:b w:val="0"/>
          <w:i w:val="0"/>
          <w:color w:val="0F172A"/>
        </w:rPr>
        <w:t xml:space="preserve"> The prevailing Party in any arbitration, court action, or enforcement proceeding may recover reasonable attorneys’ fees and costs to the extent permitted by law and determined by the arbitrator or court.</w:t>
      </w:r>
    </w:p>
    <w:p>
      <w:pPr>
        <w:pStyle w:val="Heading1"/>
      </w:pPr>
      <w:r>
        <w:t>12. Governing Law</w:t>
      </w:r>
    </w:p>
    <w:p>
      <w:pPr>
        <w:spacing w:before="0" w:after="120" w:line="259" w:lineRule="auto"/>
      </w:pPr>
      <w:r>
        <w:t>This Agreement shall be governed by, construed, and enforced in accordance with the laws of the State of Nevada, without regard to conflict-of-law rules that would require application of the laws of another jurisdiction.</w:t>
      </w:r>
    </w:p>
    <w:p>
      <w:pPr>
        <w:spacing w:before="0" w:after="120" w:line="259" w:lineRule="auto"/>
      </w:pPr>
      <w:r>
        <w:t>Venue for any court proceeding permitted under this Agreement shall be in a court of competent jurisdiction located in Clark County, Nevada, unless the Parties agree otherwise in writing.</w:t>
      </w:r>
    </w:p>
    <w:p>
      <w:pPr>
        <w:pStyle w:val="Heading1"/>
      </w:pPr>
      <w:r>
        <w:t>13. Amendments and Written Modifications</w:t>
      </w:r>
    </w:p>
    <w:p>
      <w:pPr>
        <w:spacing w:before="0" w:after="120" w:line="259" w:lineRule="auto"/>
      </w:pPr>
      <w:r>
        <w:t>This Agreement may be amended, modified, waived, supplemented, or replaced only by a written instrument signed by David, Rodrigo, and, if Company rights or obligations are affected, an authorized representative of the Company.</w:t>
      </w:r>
    </w:p>
    <w:p>
      <w:pPr>
        <w:spacing w:before="0" w:after="120" w:line="259" w:lineRule="auto"/>
      </w:pPr>
      <w:r>
        <w:t>No oral statement, course of dealing, text message, informal email, internal task note, or unsigned draft shall modify David’s ten percent (10%) Economic Participation or Rodrigo’s Operating Owner role unless incorporated into a signed written amendment.</w:t>
      </w:r>
    </w:p>
    <w:p>
      <w:pPr>
        <w:pStyle w:val="Heading1"/>
      </w:pPr>
      <w:r>
        <w:t>14. Miscellaneous Provisions</w:t>
      </w:r>
    </w:p>
    <w:p>
      <w:pPr>
        <w:spacing w:before="0" w:after="100" w:line="259" w:lineRule="auto"/>
      </w:pPr>
      <w:r>
        <w:rPr>
          <w:b/>
          <w:i w:val="0"/>
          <w:color w:val="0F172A"/>
        </w:rPr>
        <w:t>14.1 Independent legal review.</w:t>
      </w:r>
      <w:r>
        <w:rPr>
          <w:b w:val="0"/>
          <w:i w:val="0"/>
          <w:color w:val="0F172A"/>
        </w:rPr>
        <w:t xml:space="preserve"> Each Party acknowledges that this Agreement should be reviewed by independent legal counsel before execution and that each Party has had the opportunity to seek such review.</w:t>
      </w:r>
    </w:p>
    <w:p>
      <w:pPr>
        <w:spacing w:before="0" w:after="100" w:line="259" w:lineRule="auto"/>
      </w:pPr>
      <w:r>
        <w:rPr>
          <w:b/>
          <w:i w:val="0"/>
          <w:color w:val="0F172A"/>
        </w:rPr>
        <w:t>14.2 Entire agreement.</w:t>
      </w:r>
      <w:r>
        <w:rPr>
          <w:b w:val="0"/>
          <w:i w:val="0"/>
          <w:color w:val="0F172A"/>
        </w:rPr>
        <w:t xml:space="preserve"> This Agreement contains the entire understanding of the Parties concerning the subject matter of BEOFlow project ownership and economic participation and supersedes prior oral or written discussions on that subject, except for any Company operating agreement or formal governance document that cannot be amended except by its own required process.</w:t>
      </w:r>
    </w:p>
    <w:p>
      <w:pPr>
        <w:spacing w:before="0" w:after="100" w:line="259" w:lineRule="auto"/>
      </w:pPr>
      <w:r>
        <w:rPr>
          <w:b/>
          <w:i w:val="0"/>
          <w:color w:val="0F172A"/>
        </w:rPr>
        <w:t>14.3 Severability.</w:t>
      </w:r>
      <w:r>
        <w:rPr>
          <w:b w:val="0"/>
          <w:i w:val="0"/>
          <w:color w:val="0F172A"/>
        </w:rPr>
        <w:t xml:space="preserve"> If any provision of this Agreement is held invalid or unenforceable, the remaining provisions shall remain in effect, and the invalid provision shall be modified to the minimum extent necessary to make it enforceable if permitted by law.</w:t>
      </w:r>
    </w:p>
    <w:p>
      <w:pPr>
        <w:spacing w:before="0" w:after="100" w:line="259" w:lineRule="auto"/>
      </w:pPr>
      <w:r>
        <w:rPr>
          <w:b/>
          <w:i w:val="0"/>
          <w:color w:val="0F172A"/>
        </w:rPr>
        <w:t>14.4 Assignment.</w:t>
      </w:r>
      <w:r>
        <w:rPr>
          <w:b w:val="0"/>
          <w:i w:val="0"/>
          <w:color w:val="0F172A"/>
        </w:rPr>
        <w:t xml:space="preserve"> No Party may assign this Agreement or its rights in BEOFlow without the prior written consent required under this Agreement, except to a permitted successor that assumes the obligations of this Agreement in writing.</w:t>
      </w:r>
    </w:p>
    <w:p>
      <w:pPr>
        <w:spacing w:before="0" w:after="100" w:line="259" w:lineRule="auto"/>
      </w:pPr>
      <w:r>
        <w:rPr>
          <w:b/>
          <w:i w:val="0"/>
          <w:color w:val="0F172A"/>
        </w:rPr>
        <w:t>14.5 Counterparts and electronic signatures.</w:t>
      </w:r>
      <w:r>
        <w:rPr>
          <w:b w:val="0"/>
          <w:i w:val="0"/>
          <w:color w:val="0F172A"/>
        </w:rPr>
        <w:t xml:space="preserve"> This Agreement may be executed in counterparts and by electronic signature. Each counterpart shall be deemed an original, and all counterparts together shall constitute one agreement.</w:t>
      </w:r>
    </w:p>
    <w:p>
      <w:pPr>
        <w:pStyle w:val="Heading1"/>
      </w:pPr>
      <w:r>
        <w:t>15. Execution and Signatures</w:t>
      </w:r>
    </w:p>
    <w:p>
      <w:pPr>
        <w:spacing w:before="0" w:after="240" w:line="259" w:lineRule="auto"/>
      </w:pPr>
      <w:r>
        <w:t>IN WITNESS WHEREOF, the Parties have executed this Agreement as of the Effective Date set forth above.</w:t>
      </w:r>
    </w:p>
    <w:tbl>
      <w:tblPr>
        <w:tblW w:type="dxa" w:w="9360"/>
        <w:tblLook w:firstColumn="1" w:firstRow="1" w:lastColumn="0" w:lastRow="0" w:noHBand="0" w:noVBand="1" w:val="04A0"/>
        <w:jc w:val="left"/>
        <w:tblLayout w:type="fixed"/>
      </w:tblPr>
      <w:tblGrid>
        <w:gridCol w:w="4824"/>
        <w:gridCol w:w="4824"/>
      </w:tblGrid>
      <w:tr>
        <w:tc>
          <w:tcPr>
            <w:tcW w:type="dxa" w:w="4824"/>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r/>
          </w:p>
          <w:tbl>
            <w:tblPr>
              <w:tblW w:type="dxa" w:w="4300"/>
              <w:tblLook w:firstColumn="1" w:firstRow="1" w:lastColumn="0" w:lastRow="0" w:noHBand="0" w:noVBand="1" w:val="04A0"/>
              <w:jc w:val="left"/>
              <w:tblLayout w:type="fixed"/>
            </w:tblPr>
            <w:tblGrid>
              <w:gridCol w:w="4824"/>
            </w:tblGrid>
            <w:tr>
              <w:tc>
                <w:tcPr>
                  <w:tcW w:type="dxa" w:w="4824"/>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Signature: __________________________________________</w:t>
                  </w:r>
                </w:p>
              </w:tc>
            </w:tr>
            <w:tr>
              <w:tc>
                <w:tcPr>
                  <w:tcW w:type="dxa" w:w="4824"/>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Name: David Ramirez Bastida</w:t>
                  </w:r>
                </w:p>
              </w:tc>
            </w:tr>
            <w:tr>
              <w:tc>
                <w:tcPr>
                  <w:tcW w:type="dxa" w:w="4824"/>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Title/Capacity: Founder / Advisor / Economic Participant</w:t>
                  </w:r>
                </w:p>
              </w:tc>
            </w:tr>
            <w:tr>
              <w:tc>
                <w:tcPr>
                  <w:tcW w:type="dxa" w:w="4824"/>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Date: ______________________________________________</w:t>
                  </w:r>
                </w:p>
              </w:tc>
            </w:tr>
          </w:tbl>
          <w:p/>
        </w:tc>
        <w:tc>
          <w:tcPr>
            <w:tcW w:type="dxa" w:w="4824"/>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r/>
          </w:p>
          <w:tbl>
            <w:tblPr>
              <w:tblW w:type="dxa" w:w="4300"/>
              <w:tblLook w:firstColumn="1" w:firstRow="1" w:lastColumn="0" w:lastRow="0" w:noHBand="0" w:noVBand="1" w:val="04A0"/>
              <w:jc w:val="left"/>
              <w:tblLayout w:type="fixed"/>
            </w:tblPr>
            <w:tblGrid>
              <w:gridCol w:w="4824"/>
            </w:tblGrid>
            <w:tr>
              <w:tc>
                <w:tcPr>
                  <w:tcW w:type="dxa" w:w="4824"/>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Signature: __________________________________________</w:t>
                  </w:r>
                </w:p>
              </w:tc>
            </w:tr>
            <w:tr>
              <w:tc>
                <w:tcPr>
                  <w:tcW w:type="dxa" w:w="4824"/>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Name: Rodrigo Ramirez Bastida</w:t>
                  </w:r>
                </w:p>
              </w:tc>
            </w:tr>
            <w:tr>
              <w:tc>
                <w:tcPr>
                  <w:tcW w:type="dxa" w:w="4824"/>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Title/Capacity: Operating Owner / Principal Director</w:t>
                  </w:r>
                </w:p>
              </w:tc>
            </w:tr>
            <w:tr>
              <w:tc>
                <w:tcPr>
                  <w:tcW w:type="dxa" w:w="4824"/>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Date: ______________________________________________</w:t>
                  </w:r>
                </w:p>
              </w:tc>
            </w:tr>
          </w:tbl>
          <w:p/>
        </w:tc>
      </w:tr>
    </w:tbl>
    <w:p/>
    <w:tbl>
      <w:tblPr>
        <w:tblW w:type="dxa" w:w="4300"/>
        <w:tblLook w:firstColumn="1" w:firstRow="1" w:lastColumn="0" w:lastRow="0" w:noHBand="0" w:noVBand="1" w:val="04A0"/>
        <w:jc w:val="left"/>
        <w:tblLayout w:type="fixed"/>
      </w:tblPr>
      <w:tblGrid>
        <w:gridCol w:w="9648"/>
      </w:tblGrid>
      <w:tr>
        <w:tc>
          <w:tcPr>
            <w:tcW w:type="dxa" w:w="9648"/>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Signature: __________________________________________</w:t>
            </w:r>
          </w:p>
        </w:tc>
      </w:tr>
      <w:tr>
        <w:tc>
          <w:tcPr>
            <w:tcW w:type="dxa" w:w="9648"/>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Name: Bastida Systems LLC</w:t>
            </w:r>
          </w:p>
        </w:tc>
      </w:tr>
      <w:tr>
        <w:tc>
          <w:tcPr>
            <w:tcW w:type="dxa" w:w="9648"/>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Title/Capacity: By: Authorized Representative</w:t>
            </w:r>
          </w:p>
        </w:tc>
      </w:tr>
      <w:tr>
        <w:tc>
          <w:tcPr>
            <w:tcW w:type="dxa" w:w="9648"/>
            <w:tcBorders>
              <w:top w:val="single" w:sz="0" w:space="0" w:color="FFFFFF"/>
              <w:left w:val="single" w:sz="0" w:space="0" w:color="FFFFFF"/>
              <w:bottom w:val="single" w:sz="0" w:space="0" w:color="FFFFFF"/>
              <w:right w:val="single" w:sz="0" w:space="0" w:color="FFFFFF"/>
            </w:tcBorders>
            <w:tcMar>
              <w:top w:w="50" w:type="dxa"/>
              <w:start w:w="0" w:type="dxa"/>
              <w:bottom w:w="50" w:type="dxa"/>
              <w:end w:w="0" w:type="dxa"/>
            </w:tcMar>
          </w:tcPr>
          <w:p>
            <w:pPr>
              <w:spacing w:before="0" w:after="80" w:line="259" w:lineRule="auto"/>
            </w:pPr>
            <w:r>
              <w:rPr>
                <w:rFonts w:ascii="Arial" w:hAnsi="Arial"/>
                <w:color w:val="0F172A"/>
                <w:sz w:val="20"/>
              </w:rPr>
              <w:t>Date: ______________________________________________</w:t>
            </w:r>
          </w:p>
        </w:tc>
      </w:tr>
    </w:tbl>
    <w:p>
      <w:r>
        <w:br w:type="page"/>
      </w:r>
    </w:p>
    <w:p>
      <w:pPr>
        <w:pStyle w:val="Heading1"/>
      </w:pPr>
      <w:r>
        <w:t>Exhibit A. Initial Project Assets</w:t>
      </w:r>
    </w:p>
    <w:p>
      <w:r>
        <w:t>The following non-exhaustive list identifies categories of Project Assets and Project IP recognized by the Parties as part of BEOFlow as of the Effective Date:</w:t>
      </w:r>
    </w:p>
    <w:p>
      <w:pPr>
        <w:pStyle w:val="ListBullet"/>
        <w:spacing w:before="0" w:after="80" w:line="259" w:lineRule="auto"/>
      </w:pPr>
      <w:r>
        <w:t>BEOFlow name, brand concept, positioning, product identity, and related marks.</w:t>
      </w:r>
    </w:p>
    <w:p>
      <w:pPr>
        <w:pStyle w:val="ListBullet"/>
        <w:spacing w:before="0" w:after="80" w:line="259" w:lineRule="auto"/>
      </w:pPr>
      <w:r>
        <w:t>UX/UI designs, wireframes, product flows, prototypes, user interface concepts, and visual design systems.</w:t>
      </w:r>
    </w:p>
    <w:p>
      <w:pPr>
        <w:pStyle w:val="ListBullet"/>
        <w:spacing w:before="0" w:after="80" w:line="259" w:lineRule="auto"/>
      </w:pPr>
      <w:r>
        <w:t>Software, code repositories, scripts, product architecture, databases, backend/API concepts, infrastructure configuration, and deployment materials relating to BEOFlow.</w:t>
      </w:r>
    </w:p>
    <w:p>
      <w:pPr>
        <w:pStyle w:val="ListBullet"/>
        <w:spacing w:before="0" w:after="80" w:line="259" w:lineRule="auto"/>
      </w:pPr>
      <w:r>
        <w:t>Product documentation, pitch materials, customer-facing decks, internal notes, technical specifications, roadmap materials, and operational workflows.</w:t>
      </w:r>
    </w:p>
    <w:p>
      <w:pPr>
        <w:pStyle w:val="ListBullet"/>
        <w:spacing w:before="0" w:after="80" w:line="259" w:lineRule="auto"/>
      </w:pPr>
      <w:r>
        <w:t>Customer discovery notes, prospective customer materials, pricing concepts, implementation plans, and business strategy materials.</w:t>
      </w:r>
    </w:p>
    <w:p>
      <w:pPr>
        <w:pStyle w:val="ListBullet"/>
        <w:spacing w:before="0" w:after="80" w:line="259" w:lineRule="auto"/>
      </w:pPr>
      <w:r>
        <w:t>Any derivative works, updates, modifications, improvements, or replacements of the foregoing.</w:t>
      </w:r>
    </w:p>
    <w:p>
      <w:pPr>
        <w:pStyle w:val="Heading1"/>
      </w:pPr>
      <w:r>
        <w:t>Exhibit B. Drafting Notes and Source References (Non-Operative)</w:t>
      </w:r>
    </w:p>
    <w:p>
      <w:r>
        <w:t>This Exhibit is included for counsel review and drafting transparency only. It is not intended to create independent contractual obligations unless incorporated into the operative sections of this Agreement.</w:t>
      </w:r>
    </w:p>
    <w:tbl>
      <w:tblPr>
        <w:tblW w:type="dxa" w:w="9360"/>
        <w:tblLook w:firstColumn="1" w:firstRow="1" w:lastColumn="0" w:lastRow="0" w:noHBand="0" w:noVBand="1" w:val="04A0"/>
        <w:jc w:val="left"/>
        <w:tblLayout w:type="fixed"/>
      </w:tblPr>
      <w:tblGrid>
        <w:gridCol w:w="4824"/>
        <w:gridCol w:w="4824"/>
      </w:tblGrid>
      <w:tr>
        <w:tc>
          <w:tcPr>
            <w:tcW w:type="dxa" w:w="4824"/>
            <w:shd w:fill="EEF7F4"/>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8"/>
              </w:rPr>
              <w:t>Topic</w:t>
            </w:r>
          </w:p>
        </w:tc>
        <w:tc>
          <w:tcPr>
            <w:tcW w:type="dxa" w:w="4824"/>
            <w:shd w:fill="EEF7F4"/>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8"/>
              </w:rPr>
              <w:t>Reference / Review Note</w:t>
            </w:r>
          </w:p>
        </w:tc>
      </w:tr>
      <w:tr>
        <w:tc>
          <w:tcPr>
            <w:tcW w:type="dxa" w:w="23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Nevada LLC context</w:t>
            </w:r>
          </w:p>
        </w:tc>
        <w:tc>
          <w:tcPr>
            <w:tcW w:type="dxa" w:w="70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Nevada Revised Statutes Chapter 86, including definitions and provisions concerning limited-liability companies, members, operating agreements, distributions, and transfer of interests. Source: Nevada Legislature, NRS Chapter 86, https://www.leg.state.nv.us/NRS/NRS-086.html.</w:t>
            </w:r>
          </w:p>
        </w:tc>
      </w:tr>
      <w:tr>
        <w:tc>
          <w:tcPr>
            <w:tcW w:type="dxa" w:w="23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Nevada non-compete context</w:t>
            </w:r>
          </w:p>
        </w:tc>
        <w:tc>
          <w:tcPr>
            <w:tcW w:type="dxa" w:w="70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Nevada Revised Statutes Section 613.195 provides Nevada-specific limitations and enforceability considerations for noncompetition covenants. The non-compete section in this draft is intentionally limited and subject to applicable law. Source: Nevada Legislature, NRS 613.195, https://www.leg.state.nv.us/NRS/NRS-613.html.</w:t>
            </w:r>
          </w:p>
        </w:tc>
      </w:tr>
      <w:tr>
        <w:tc>
          <w:tcPr>
            <w:tcW w:type="dxa" w:w="23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Business facts supplied by the Parties</w:t>
            </w:r>
          </w:p>
        </w:tc>
        <w:tc>
          <w:tcPr>
            <w:tcW w:type="dxa" w:w="70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BEOFlow was created within the Bastida Systems ecosystem; Rodrigo is intended to be the operating owner and principal director; David is intended to retain a permanent 10% economic participation and serve mainly as designer, technology advisor, and strategic consultant.</w:t>
            </w:r>
          </w:p>
        </w:tc>
      </w:tr>
      <w:tr>
        <w:tc>
          <w:tcPr>
            <w:tcW w:type="dxa" w:w="230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color w:val="007054"/>
                <w:sz w:val="17"/>
              </w:rPr>
              <w:t>Counsel review items</w:t>
            </w:r>
          </w:p>
        </w:tc>
        <w:tc>
          <w:tcPr>
            <w:tcW w:type="dxa" w:w="7060"/>
            <w:tcBorders>
              <w:top w:val="single" w:sz="6" w:space="0" w:color="CBD5E1"/>
              <w:left w:val="single" w:sz="6" w:space="0" w:color="CBD5E1"/>
              <w:bottom w:val="single" w:sz="6" w:space="0" w:color="CBD5E1"/>
              <w:right w:val="single" w:sz="6" w:space="0" w:color="CBD5E1"/>
            </w:tcBorders>
            <w:tcMar>
              <w:top w:w="90" w:type="dxa"/>
              <w:start w:w="130" w:type="dxa"/>
              <w:bottom w:w="90" w:type="dxa"/>
              <w:end w:w="130" w:type="dxa"/>
            </w:tcMar>
          </w:tcPr>
          <w:p>
            <w:r>
              <w:rPr>
                <w:rFonts w:ascii="Arial" w:hAnsi="Arial"/>
                <w:b w:val="0"/>
                <w:color w:val="0F172A"/>
                <w:sz w:val="17"/>
              </w:rPr>
              <w:t>A Nevada attorney should confirm tax treatment, LLC operating agreement consistency, enforceability of restrictive covenants, securities implications if third-party financing is introduced, and the correct structure if BEOFlow is spun off into a separate entity.</w:t>
            </w:r>
          </w:p>
        </w:tc>
      </w:tr>
    </w:tbl>
    <w:sectPr w:rsidR="00FC693F" w:rsidRPr="0006063C" w:rsidSect="00034616">
      <w:headerReference w:type="default" r:id="rId9"/>
      <w:footerReference w:type="default" r:id="rId10"/>
      <w:pgSz w:w="12240" w:h="15840"/>
      <w:pgMar w:top="1224"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75569"/>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4" w:space="1" w:color="CBD5E1"/>
      </w:pBdr>
    </w:pPr>
    <w:r>
      <w:rPr>
        <w:color w:val="475569"/>
        <w:sz w:val="16"/>
      </w:rPr>
      <w:t>BEOFlow Ownership and Participation Agreement | Draft for Corporate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705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BEOFlow Ownership and Participation Agreement</dc:title>
  <dc:subject>Internal project ownership, operations, IP, and economic participation agreement</dc:subject>
  <dc:creator>Bastida Systems LLC</dc:creator>
  <cp:keywords/>
  <dc:description>Draft for review by qualified Nevada corporate counsel.</dc:description>
  <cp:lastModifiedBy/>
  <cp:revision>1</cp:revision>
  <dcterms:created xsi:type="dcterms:W3CDTF">2013-12-23T23:15:00Z</dcterms:created>
  <dcterms:modified xsi:type="dcterms:W3CDTF">2013-12-23T23:15:00Z</dcterms:modified>
  <cp:category/>
</cp:coreProperties>
</file>