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bCs/>
          <w:i/>
          <w:sz w:val="20"/>
          <w:szCs w:val="20"/>
          <w:highlight w:val="none"/>
          <w:lang w:val="fr-FR"/>
        </w:rPr>
      </w:pPr>
      <w:r>
        <w:rPr>
          <w:i/>
          <w:iCs/>
          <w:sz w:val="20"/>
          <w:szCs w:val="20"/>
          <w:lang w:val="fr-FR"/>
        </w:rPr>
        <w:t xml:space="preserve">Bastien Gaffet</w:t>
      </w:r>
      <w:r>
        <w:rPr>
          <w:i/>
          <w:iCs/>
          <w:sz w:val="20"/>
          <w:szCs w:val="20"/>
          <w:lang w:val="fr-FR"/>
        </w:rPr>
        <w:t xml:space="preserve"> PCSI 2</w:t>
      </w:r>
      <w:r>
        <w:rPr>
          <w:i/>
          <w:iCs/>
          <w:sz w:val="20"/>
          <w:szCs w:val="20"/>
          <w:highlight w:val="none"/>
          <w:lang w:val="fr-FR"/>
        </w:rPr>
      </w:r>
    </w:p>
    <w:p>
      <w:pPr>
        <w:pStyle w:val="847"/>
        <w:pBdr/>
        <w:spacing/>
        <w:ind/>
        <w:jc w:val="center"/>
        <w:rPr>
          <w:highlight w:val="none"/>
          <w:lang w:val="fr-FR"/>
          <w14:ligatures w14:val="none"/>
        </w:rPr>
      </w:pPr>
      <w:r>
        <w:rPr>
          <w:highlight w:val="none"/>
          <w:lang w:val="fr-FR"/>
        </w:rPr>
        <w:t xml:space="preserve">Apprendre à chercher</w:t>
      </w:r>
      <w:r>
        <w:rPr>
          <w:highlight w:val="none"/>
          <w:lang w:val="fr-FR"/>
        </w:rPr>
      </w:r>
      <w:r>
        <w:rPr>
          <w:highlight w:val="none"/>
          <w:lang w:val="fr-FR"/>
        </w:rPr>
      </w:r>
    </w:p>
    <w:p>
      <w:pPr>
        <w:pStyle w:val="849"/>
        <w:pBdr/>
        <w:spacing/>
        <w:ind w:firstLine="0" w:left="0"/>
        <w:rPr>
          <w:highlight w:val="none"/>
          <w:lang w:val="fr-FR"/>
          <w14:ligatures w14:val="none"/>
        </w:rPr>
      </w:pPr>
      <w:r>
        <w:rPr>
          <w:highlight w:val="none"/>
          <w:lang w:val="fr-FR"/>
        </w:rPr>
        <w:t xml:space="preserve">1. </w:t>
      </w:r>
      <w:r>
        <w:rPr>
          <w:highlight w:val="none"/>
          <w:lang w:val="fr-FR"/>
        </w:rPr>
        <w:t xml:space="preserve">Trouver rapidement des définitions</w:t>
      </w:r>
      <w:r>
        <w:rPr>
          <w:highlight w:val="none"/>
          <w:lang w:val="fr-FR"/>
        </w:rPr>
      </w:r>
      <w:r>
        <w:rPr>
          <w:highlight w:val="none"/>
          <w:lang w:val="fr-FR"/>
        </w:rPr>
      </w:r>
    </w:p>
    <w:p>
      <w:pPr>
        <w:pBdr/>
        <w:spacing/>
        <w:ind w:firstLine="0" w:left="0"/>
        <w:jc w:val="both"/>
        <w:rPr>
          <w:sz w:val="22"/>
          <w:szCs w:val="22"/>
          <w:highlight w:val="none"/>
          <w:lang w:val="fr-FR"/>
        </w:rPr>
      </w:pPr>
      <w:r>
        <w:rPr>
          <w:highlight w:val="none"/>
          <w:lang w:val="fr-FR"/>
        </w:rPr>
        <w:t xml:space="preserve">En physique</w:t>
      </w:r>
      <w:r>
        <w:rPr>
          <w:highlight w:val="none"/>
          <w:lang w:val="fr-FR"/>
        </w:rPr>
        <w:t xml:space="preserve"> </w:t>
      </w:r>
      <w:r>
        <w:rPr>
          <w:highlight w:val="none"/>
          <w:lang w:val="fr-FR"/>
        </w:rPr>
        <w:t xml:space="preserve">nucléaire</w:t>
      </w:r>
      <w:r>
        <w:rPr>
          <w:highlight w:val="none"/>
          <w:lang w:val="fr-FR"/>
        </w:rPr>
        <w:t xml:space="preserve"> ou des particules</w:t>
      </w:r>
      <w:r>
        <w:rPr>
          <w:highlight w:val="none"/>
          <w:lang w:val="fr-FR"/>
        </w:rPr>
        <w:t xml:space="preserve">, on mesure </w:t>
      </w:r>
      <w:r>
        <w:rPr>
          <w:highlight w:val="none"/>
          <w:lang w:val="fr-FR"/>
        </w:rPr>
        <w:t xml:space="preserve">une aire</w:t>
      </w:r>
      <w:r>
        <w:rPr>
          <w:highlight w:val="none"/>
          <w:lang w:val="fr-FR"/>
        </w:rPr>
        <w:t xml:space="preserve"> en barn</w:t>
      </w:r>
      <w:r>
        <w:rPr>
          <w:highlight w:val="none"/>
          <w:lang w:val="fr-FR"/>
        </w:rPr>
        <w:t xml:space="preserve">, noté (b), </w:t>
        <w:br/>
        <w:t xml:space="preserve">1</w:t>
      </w:r>
      <w:r>
        <w:rPr>
          <w:highlight w:val="none"/>
          <w:lang w:val="fr-FR"/>
        </w:rPr>
        <w:t xml:space="preserve"> </w:t>
      </w:r>
      <w:r>
        <w:rPr>
          <w:highlight w:val="none"/>
          <w:lang w:val="fr-FR"/>
        </w:rPr>
        <w:t xml:space="preserve">b = 10</w:t>
      </w:r>
      <w:r>
        <w:rPr>
          <w:highlight w:val="none"/>
          <w:vertAlign w:val="superscript"/>
          <w:lang w:val="fr-FR"/>
        </w:rPr>
        <w:t xml:space="preserve">-28</w:t>
      </w:r>
      <w:r>
        <w:rPr>
          <w:highlight w:val="none"/>
          <w:lang w:val="fr-FR"/>
        </w:rPr>
        <w:t xml:space="preserve"> </w:t>
      </w:r>
      <w:r>
        <w:rPr>
          <w:highlight w:val="none"/>
          <w:lang w:val="fr-FR"/>
        </w:rPr>
        <w:t xml:space="preserve">m . </w:t>
      </w:r>
      <w:r>
        <w:rPr>
          <w:highlight w:val="none"/>
          <w:lang w:val="fr-FR"/>
        </w:rPr>
        <w:t xml:space="preserve"> </w:t>
      </w:r>
      <w:r>
        <w:rPr>
          <w:highlight w:val="none"/>
          <w:lang w:val="fr-FR"/>
        </w:rPr>
        <w:t xml:space="preserve">On mesure</w:t>
      </w:r>
      <w:r>
        <w:rPr>
          <w:highlight w:val="none"/>
          <w:lang w:val="fr-FR"/>
        </w:rPr>
        <w:t xml:space="preserve"> l’énergie d’un rayonnement ionisant apportant une énergie d’un joule à un milieu homogène d’une masse d’un kilogramme</w:t>
      </w:r>
      <w:r>
        <w:rPr>
          <w:highlight w:val="none"/>
          <w:lang w:val="fr-FR"/>
        </w:rPr>
        <w:t xml:space="preserve"> en gray</w:t>
      </w:r>
      <w:r>
        <w:rPr>
          <w:highlight w:val="none"/>
          <w:lang w:val="fr-FR"/>
        </w:rPr>
        <w:t xml:space="preserve">, noté (Gy)</w:t>
      </w:r>
      <w:r>
        <w:rPr>
          <w:highlight w:val="none"/>
          <w:lang w:val="fr-FR"/>
        </w:rPr>
        <w:t xml:space="preserve">, un gray est équivalent à un J/kg ou à 1</w:t>
      </w:r>
      <w:r>
        <w:rPr>
          <w:highlight w:val="none"/>
          <w:lang w:val="fr-FR"/>
        </w:rPr>
        <w:t xml:space="preserve"> </w:t>
      </w:r>
      <w:r>
        <w:rPr>
          <w:highlight w:val="none"/>
          <w:lang w:val="fr-FR"/>
        </w:rPr>
        <w:t xml:space="preserve">m</w:t>
      </w:r>
      <w:r>
        <w:rPr>
          <w:highlight w:val="none"/>
          <w:vertAlign w:val="superscript"/>
          <w:lang w:val="fr-FR"/>
        </w:rPr>
        <w:t xml:space="preserve">2</w:t>
      </w:r>
      <w:r>
        <w:rPr>
          <w:highlight w:val="none"/>
          <w:lang w:val="fr-FR"/>
        </w:rPr>
        <w:t xml:space="preserve">s</w:t>
      </w:r>
      <w:r>
        <w:rPr>
          <w:highlight w:val="none"/>
          <w:vertAlign w:val="superscript"/>
          <w:lang w:val="fr-FR"/>
        </w:rPr>
        <w:t xml:space="preserve">-2</w:t>
      </w:r>
      <w:r>
        <w:rPr>
          <w:highlight w:val="none"/>
          <w:lang w:val="fr-FR"/>
        </w:rPr>
        <w:t xml:space="preserve"> dans les unités du système internationale</w:t>
      </w:r>
      <w:r>
        <w:rPr>
          <w:highlight w:val="none"/>
          <w:lang w:val="fr-FR"/>
        </w:rPr>
        <w:t xml:space="preserve"> et</w:t>
      </w:r>
      <w:r>
        <w:rPr>
          <w:highlight w:val="none"/>
          <w:lang w:val="fr-FR"/>
        </w:rPr>
        <w:t xml:space="preserve"> on mesure</w:t>
      </w:r>
      <w:r>
        <w:rPr>
          <w:highlight w:val="none"/>
          <w:lang w:val="fr-FR"/>
        </w:rPr>
        <w:t xml:space="preserve"> la luminance</w:t>
      </w:r>
      <w:r>
        <w:rPr>
          <w:highlight w:val="none"/>
          <w:lang w:val="fr-FR"/>
        </w:rPr>
        <w:t xml:space="preserve"> en lambert</w:t>
      </w:r>
      <w:r>
        <w:rPr>
          <w:highlight w:val="none"/>
          <w:lang w:val="fr-FR"/>
        </w:rPr>
        <w:t xml:space="preserve">, noté (</w:t>
      </w:r>
      <w:r>
        <w:rPr>
          <w:highlight w:val="none"/>
          <w:lang w:val="fr-FR"/>
        </w:rPr>
        <w:t xml:space="preserve">L)</w:t>
      </w:r>
      <w:r>
        <w:rPr>
          <w:highlight w:val="none"/>
          <w:lang w:val="fr-FR"/>
        </w:rPr>
        <w:t xml:space="preserve"> exprimé en candela par mètre carré (cd/m</w:t>
      </w:r>
      <w:r>
        <w:rPr>
          <w:highlight w:val="none"/>
          <w:vertAlign w:val="superscript"/>
          <w:lang w:val="fr-FR"/>
        </w:rPr>
        <w:t xml:space="preserve">2</w:t>
      </w:r>
      <w:r>
        <w:rPr>
          <w:highlight w:val="none"/>
          <w:lang w:val="fr-FR"/>
        </w:rPr>
        <w:t xml:space="preserve">) dans les unités du SI</w:t>
      </w:r>
      <w:r>
        <w:rPr>
          <w:highlight w:val="none"/>
          <w:lang w:val="fr-FR"/>
        </w:rPr>
        <w:t xml:space="preserve">. </w:t>
      </w:r>
      <w:r>
        <w:rPr>
          <w:rFonts w:ascii="Arial" w:hAnsi="Arial" w:eastAsia="Arial" w:cs="Arial"/>
          <w:color w:val="202122"/>
          <w:sz w:val="22"/>
          <w:szCs w:val="22"/>
          <w:highlight w:val="white"/>
          <w:lang w:val="fr-FR"/>
        </w:rPr>
        <w:t xml:space="preserve">Le lambert (L) est la luminance d'une surface parfaitement réfléchissante et diffusante</w:t>
      </w:r>
      <w:r>
        <w:rPr>
          <w:rFonts w:ascii="Arial" w:hAnsi="Arial" w:eastAsia="Arial" w:cs="Arial"/>
          <w:color w:val="202122"/>
          <w:sz w:val="22"/>
          <w:szCs w:val="22"/>
          <w:highlight w:val="white"/>
          <w:lang w:val="fr-FR"/>
        </w:rPr>
        <w:t xml:space="preserve"> </w:t>
      </w:r>
      <w:r>
        <w:rPr>
          <w:rFonts w:ascii="Arial" w:hAnsi="Arial" w:eastAsia="Arial" w:cs="Arial"/>
          <w:color w:val="202122"/>
          <w:sz w:val="22"/>
          <w:szCs w:val="22"/>
          <w:highlight w:val="white"/>
          <w:lang w:val="fr-FR"/>
        </w:rPr>
        <w:t xml:space="preserve">recevant un éclairement de 10</w:t>
      </w:r>
      <w:r>
        <w:rPr>
          <w:rFonts w:ascii="Arial" w:hAnsi="Arial" w:eastAsia="Arial" w:cs="Arial"/>
          <w:color w:val="202122"/>
          <w:sz w:val="22"/>
          <w:szCs w:val="22"/>
          <w:highlight w:val="white"/>
          <w:vertAlign w:val="superscript"/>
          <w:lang w:val="fr-FR"/>
        </w:rPr>
        <w:t xml:space="preserve">4</w:t>
      </w:r>
      <w:r>
        <w:rPr>
          <w:rFonts w:ascii="Arial" w:hAnsi="Arial" w:eastAsia="Arial" w:cs="Arial"/>
          <w:color w:val="202122"/>
          <w:sz w:val="22"/>
          <w:szCs w:val="22"/>
          <w:highlight w:val="white"/>
          <w:lang w:val="fr-FR"/>
        </w:rPr>
        <w:t xml:space="preserve"> </w:t>
      </w:r>
      <w:r>
        <w:rPr>
          <w:rFonts w:ascii="Arial" w:hAnsi="Arial" w:eastAsia="Arial" w:cs="Arial"/>
          <w:color w:val="202122"/>
          <w:sz w:val="22"/>
          <w:szCs w:val="22"/>
          <w:highlight w:val="white"/>
          <w:lang w:val="fr-FR"/>
        </w:rPr>
        <w:t xml:space="preserve">lux </w:t>
      </w:r>
      <w:r>
        <w:rPr>
          <w:rFonts w:ascii="Arial" w:hAnsi="Arial" w:eastAsia="Arial" w:cs="Arial"/>
          <w:color w:val="202122"/>
          <w:sz w:val="22"/>
          <w:szCs w:val="22"/>
          <w:highlight w:val="white"/>
          <w:lang w:val="fr-FR"/>
        </w:rPr>
        <w:t xml:space="preserve">(</w:t>
      </w:r>
      <w:r>
        <w:rPr>
          <w:rFonts w:ascii="Arial" w:hAnsi="Arial" w:eastAsia="Arial" w:cs="Arial"/>
          <w:color w:val="202122"/>
          <w:sz w:val="22"/>
          <w:szCs w:val="22"/>
          <w:highlight w:val="white"/>
          <w:u w:val="none"/>
          <w:lang w:val="fr-FR"/>
        </w:rPr>
        <w:t xml:space="preserve">lx</w:t>
      </w:r>
      <w:r>
        <w:rPr>
          <w:rFonts w:ascii="Arial" w:hAnsi="Arial" w:eastAsia="Arial" w:cs="Arial"/>
          <w:color w:val="202122"/>
          <w:sz w:val="22"/>
          <w:szCs w:val="22"/>
          <w:highlight w:val="white"/>
          <w:lang w:val="fr-FR"/>
        </w:rPr>
        <w:t xml:space="preserve">)</w:t>
      </w:r>
      <w:r>
        <w:rPr>
          <w:sz w:val="22"/>
          <w:szCs w:val="22"/>
          <w:highlight w:val="none"/>
          <w:lang w:val="fr-FR"/>
        </w:rPr>
      </w:r>
      <w:r>
        <w:rPr>
          <w:sz w:val="22"/>
          <w:szCs w:val="22"/>
          <w:highlight w:val="none"/>
          <w:lang w:val="fr-FR"/>
        </w:rPr>
      </w:r>
    </w:p>
    <w:p>
      <w:pPr>
        <w:pBdr/>
        <w:spacing/>
        <w:ind w:firstLine="0" w:left="0"/>
        <w:jc w:val="both"/>
        <w:rPr>
          <w:highlight w:val="none"/>
          <w:lang w:val="fr-FR"/>
        </w:rPr>
      </w:pPr>
      <w:r>
        <w:rPr>
          <w:highlight w:val="none"/>
          <w:lang w:val="fr-FR"/>
        </w:rPr>
      </w:r>
      <w:r>
        <w:rPr>
          <w:highlight w:val="none"/>
          <w:lang w:val="fr-FR"/>
        </w:rPr>
        <w:t xml:space="preserve">En biologie on mesure</w:t>
      </w:r>
      <w:r>
        <w:rPr>
          <w:highlight w:val="none"/>
          <w:lang w:val="fr-FR"/>
        </w:rPr>
        <w:t xml:space="preserve"> le taux de sédimentation </w:t>
      </w:r>
      <w:r>
        <w:rPr>
          <w:highlight w:val="none"/>
          <w:lang w:val="fr-FR"/>
        </w:rPr>
        <w:t xml:space="preserve">en sve</w:t>
      </w:r>
      <w:r>
        <w:rPr>
          <w:highlight w:val="none"/>
          <w:lang w:val="fr-FR"/>
        </w:rPr>
        <w:t xml:space="preserve">d</w:t>
      </w:r>
      <w:r>
        <w:rPr>
          <w:highlight w:val="none"/>
          <w:lang w:val="fr-FR"/>
        </w:rPr>
        <w:t xml:space="preserve">berg</w:t>
      </w:r>
      <w:r>
        <w:rPr>
          <w:highlight w:val="none"/>
          <w:lang w:val="fr-FR"/>
        </w:rPr>
        <w:t xml:space="preserve"> (S), un sveberg vaut 10</w:t>
      </w:r>
      <w:r>
        <w:rPr>
          <w:highlight w:val="none"/>
          <w:vertAlign w:val="superscript"/>
          <w:lang w:val="fr-FR"/>
        </w:rPr>
        <w:t xml:space="preserve">-13</w:t>
      </w:r>
      <w:r>
        <w:rPr>
          <w:highlight w:val="none"/>
          <w:lang w:val="fr-FR"/>
        </w:rPr>
        <w:t xml:space="preserve"> s.</w:t>
      </w:r>
      <w:r>
        <w:rPr>
          <w:highlight w:val="none"/>
          <w:lang w:val="fr-FR"/>
        </w:rPr>
      </w:r>
      <w:r>
        <w:rPr>
          <w:highlight w:val="none"/>
          <w:lang w:val="fr-FR"/>
        </w:rPr>
      </w:r>
    </w:p>
    <w:p>
      <w:pPr>
        <w:pBdr/>
        <w:spacing/>
        <w:ind w:firstLine="0" w:left="0"/>
        <w:jc w:val="both"/>
        <w:rPr>
          <w:highlight w:val="none"/>
          <w:lang w:val="fr-FR"/>
        </w:rPr>
      </w:pPr>
      <w:r>
        <w:rPr>
          <w:highlight w:val="none"/>
          <w:lang w:val="fr-FR"/>
        </w:rPr>
        <w:t xml:space="preserve">Avec un anémomètre on mesure la vitesse du vent. Avec un sc</w:t>
      </w:r>
      <w:r>
        <w:rPr>
          <w:highlight w:val="none"/>
          <w:lang w:val="fr-FR"/>
        </w:rPr>
        <w:t xml:space="preserve">léromètre on mesure la résistance à la compression d</w:t>
      </w:r>
      <w:r>
        <w:rPr>
          <w:highlight w:val="none"/>
          <w:lang w:val="en-US"/>
        </w:rPr>
        <w:t xml:space="preserve">’u</w:t>
      </w:r>
      <w:r>
        <w:rPr>
          <w:highlight w:val="none"/>
          <w:lang w:val="fr-FR"/>
        </w:rPr>
        <w:t xml:space="preserve">n matériaux, plus souvent celle du béton. Un palpeur permet de mesurer les dimensions, la forme et la position d’un élément, il est</w:t>
      </w:r>
      <w:r>
        <w:rPr>
          <w:highlight w:val="none"/>
          <w:lang w:val="fr-FR"/>
        </w:rPr>
        <w:t xml:space="preserve"> </w:t>
      </w:r>
      <w:r>
        <w:rPr>
          <w:highlight w:val="none"/>
          <w:lang w:val="fr-FR"/>
        </w:rPr>
        <w:t xml:space="preserve">souvent utiliser pour vérifier des pièces usinées ou en cours d’usinage.</w:t>
      </w:r>
      <w:r>
        <w:rPr>
          <w:highlight w:val="none"/>
          <w:lang w:val="fr-FR"/>
        </w:rPr>
      </w:r>
      <w:r>
        <w:rPr>
          <w:highlight w:val="none"/>
          <w:lang w:val="fr-FR"/>
        </w:rPr>
      </w:r>
    </w:p>
    <w:p>
      <w:pPr>
        <w:pBdr/>
        <w:spacing/>
        <w:ind w:firstLine="0" w:left="0"/>
        <w:jc w:val="both"/>
        <w:rPr>
          <w:highlight w:val="none"/>
          <w:lang w:val="fr-FR"/>
        </w:rPr>
      </w:pPr>
      <w:r>
        <w:rPr>
          <w:highlight w:val="none"/>
          <w:lang w:val="fr-FR"/>
        </w:rPr>
        <w:t xml:space="preserve">Un Fenbach ou fiole de Fernbach est une fiole d’un diamètre important et plate à la base, qui ressemble à un erlenmeyer mais plus large à la base afin de maximiser la surface de contact entre le liquide contenu dans la fiole et l’air.</w:t>
      </w:r>
      <w:r>
        <w:rPr>
          <w:highlight w:val="none"/>
          <w:lang w:val="fr-FR"/>
        </w:rPr>
        <w:t xml:space="preserve"> Elle est utilisé dans la culure de cellules.</w:t>
      </w:r>
      <w:r>
        <w:rPr>
          <w:highlight w:val="none"/>
          <w:lang w:val="fr-FR"/>
        </w:rPr>
      </w:r>
      <w:r>
        <w:rPr>
          <w:highlight w:val="none"/>
          <w:lang w:val="fr-FR"/>
        </w:rPr>
      </w:r>
    </w:p>
    <w:p>
      <w:pPr>
        <w:pBdr/>
        <w:spacing/>
        <w:ind w:firstLine="0" w:left="0"/>
        <w:jc w:val="both"/>
        <w:rPr>
          <w:highlight w:val="none"/>
          <w:lang w:val="fr-FR"/>
        </w:rPr>
      </w:pPr>
      <w:r>
        <w:rPr>
          <w:highlight w:val="none"/>
          <w:lang w:val="fr-FR"/>
        </w:rPr>
        <w:t xml:space="preserve">La loi de Bernouilli a été démontré par le mathématicien suisse Jacques ou Jacob Bernoulli, né le 27 décembre 1654 et mort le 16 août 1705 à Bâle.</w:t>
      </w:r>
      <w:r>
        <w:rPr>
          <w:highlight w:val="none"/>
          <w:lang w:val="fr-FR"/>
        </w:rPr>
      </w:r>
      <w:r>
        <w:rPr>
          <w:highlight w:val="none"/>
          <w:lang w:val="fr-FR"/>
        </w:rPr>
      </w:r>
    </w:p>
    <w:p>
      <w:pPr>
        <w:pBdr/>
        <w:spacing/>
        <w:ind w:firstLine="0" w:left="0"/>
        <w:jc w:val="both"/>
        <w:rPr>
          <w:highlight w:val="none"/>
          <w:lang w:val="fr-FR"/>
        </w:rPr>
      </w:pPr>
      <w:r>
        <w:rPr>
          <w:highlight w:val="none"/>
          <w:lang w:val="fr-FR"/>
        </w:rPr>
      </w:r>
      <w:r>
        <w:rPr>
          <w:highlight w:val="none"/>
          <w:lang w:val="fr-FR"/>
        </w:rPr>
        <w:t xml:space="preserve">Reach est l'acronyme de “Registration, Evaluation and Authorisation of Chemicals”, soit “enregistrement, évaluation et autorisation des substances chimiques”.</w:t>
      </w:r>
      <w:r>
        <w:rPr>
          <w:highlight w:val="none"/>
          <w:lang w:val="fr-FR"/>
        </w:rPr>
      </w:r>
      <w:r>
        <w:rPr>
          <w:highlight w:val="none"/>
          <w:lang w:val="fr-FR"/>
        </w:rPr>
      </w:r>
    </w:p>
    <w:p>
      <w:pPr>
        <w:pBdr/>
        <w:spacing/>
        <w:ind w:firstLine="0" w:left="709"/>
        <w:rPr>
          <w:highlight w:val="none"/>
          <w:lang w:val="fr-FR"/>
        </w:rPr>
      </w:pPr>
      <w:r>
        <w:rPr>
          <w:highlight w:val="none"/>
          <w:lang w:val="fr-FR"/>
        </w:rPr>
      </w:r>
      <w:r>
        <w:rPr>
          <w:highlight w:val="none"/>
          <w:lang w:val="fr-FR"/>
        </w:rPr>
      </w:r>
      <w:r>
        <w:rPr>
          <w:highlight w:val="none"/>
          <w:lang w:val="fr-FR"/>
        </w:rPr>
      </w:r>
    </w:p>
    <w:p>
      <w:pPr>
        <w:pStyle w:val="849"/>
        <w:pBdr/>
        <w:spacing/>
        <w:ind/>
        <w:rPr>
          <w:highlight w:val="none"/>
          <w:lang w:val="fr-FR"/>
        </w:rPr>
      </w:pPr>
      <w:r>
        <w:rPr>
          <w:highlight w:val="none"/>
          <w:lang w:val="fr-FR"/>
        </w:rPr>
        <w:t xml:space="preserve">2. </w:t>
      </w:r>
      <w:r>
        <w:rPr>
          <w:highlight w:val="none"/>
          <w:lang w:val="fr-FR"/>
        </w:rPr>
        <w:t xml:space="preserve">Où chercher ?</w:t>
      </w:r>
      <w:r>
        <w:rPr>
          <w:highlight w:val="none"/>
          <w:lang w:val="fr-FR"/>
        </w:rPr>
      </w:r>
      <w:r>
        <w:rPr>
          <w:highlight w:val="none"/>
          <w:lang w:val="fr-FR"/>
        </w:rPr>
      </w:r>
    </w:p>
    <w:p>
      <w:pPr>
        <w:pStyle w:val="851"/>
        <w:pBdr/>
        <w:spacing/>
        <w:ind/>
        <w:rPr>
          <w:highlight w:val="none"/>
          <w:lang w:val="fr-FR"/>
          <w14:ligatures w14:val="none"/>
        </w:rPr>
      </w:pPr>
      <w:r>
        <w:rPr>
          <w:highlight w:val="none"/>
          <w:lang w:val="fr-FR"/>
        </w:rPr>
        <w:t xml:space="preserve"> 1. </w:t>
      </w:r>
      <w:r>
        <w:rPr>
          <w:highlight w:val="none"/>
          <w:lang w:val="fr-FR"/>
        </w:rPr>
        <w:t xml:space="preserve">Le site de Grelette</w:t>
      </w:r>
      <w:r>
        <w:rPr>
          <w:highlight w:val="none"/>
          <w:lang w:val="fr-FR"/>
        </w:rPr>
      </w:r>
      <w:r>
        <w:rPr>
          <w:highlight w:val="none"/>
          <w:lang w:val="fr-FR"/>
        </w:rPr>
      </w:r>
    </w:p>
    <w:p>
      <w:pPr>
        <w:pBdr/>
        <w:spacing/>
        <w:ind w:firstLine="0" w:left="0"/>
        <w:rPr>
          <w:highlight w:val="none"/>
          <w:lang w:val="fr-FR"/>
        </w:rPr>
      </w:pPr>
      <w:r>
        <w:rPr>
          <w:highlight w:val="none"/>
          <w:lang w:val="fr-FR"/>
        </w:rPr>
        <w:t xml:space="preserve">Tire de l’article : </w:t>
      </w:r>
      <w:r>
        <w:rPr>
          <w:lang w:val="fr-FR"/>
        </w:rPr>
        <w:t xml:space="preserve">Un nouvel indice d’occupation néolithique en Limousin : le site de Grelette, à Bussière-Galant (Haute-Vienne).</w:t>
      </w:r>
      <w:r>
        <w:rPr>
          <w:highlight w:val="none"/>
          <w:lang w:val="fr-FR"/>
        </w:rPr>
        <w:br/>
        <w:t xml:space="preserve">Revue et références : </w:t>
      </w:r>
      <w:r>
        <w:rPr>
          <w:lang w:val="fr-FR"/>
        </w:rPr>
        <w:t xml:space="preserve">Bulletin de la Société archéologique et historique du Limousin, 1999, CXXVII, pp.21-33. ffhal-00266644</w:t>
      </w:r>
      <w:r>
        <w:rPr>
          <w:highlight w:val="none"/>
          <w:lang w:val="fr-FR"/>
        </w:rPr>
        <w:t xml:space="preserve">, par </w:t>
      </w:r>
      <w:r>
        <w:rPr>
          <w:highlight w:val="none"/>
          <w:lang w:val="fr-FR"/>
        </w:rPr>
        <w:t xml:space="preserve">Thomas Perrin</w:t>
      </w:r>
      <w:r>
        <w:rPr>
          <w:highlight w:val="none"/>
          <w:lang w:val="fr-FR"/>
        </w:rPr>
        <w:t xml:space="preserve">.</w:t>
        <w:br/>
      </w:r>
      <w:r>
        <w:rPr>
          <w:rFonts w:ascii="Open Sans" w:hAnsi="Open Sans" w:eastAsia="Open Sans" w:cs="Open Sans"/>
          <w:sz w:val="21"/>
          <w:highlight w:val="none"/>
          <w:lang w:val="fr-FR"/>
        </w:rPr>
        <w:t xml:space="preserve">Lien vers l’article : </w:t>
      </w:r>
      <w:r>
        <w:rPr>
          <w:highlight w:val="none"/>
          <w:lang w:val="fr-FR"/>
        </w:rPr>
      </w:r>
      <w:hyperlink r:id="rId10" w:tooltip="https://hal.science/hal-00266644/document" w:history="1">
        <w:r>
          <w:rPr>
            <w:rStyle w:val="892"/>
            <w:highlight w:val="none"/>
            <w:lang w:val="fr-FR"/>
          </w:rPr>
        </w:r>
        <w:r>
          <w:rPr>
            <w:rStyle w:val="892"/>
            <w:highlight w:val="none"/>
            <w:lang w:val="fr-FR"/>
          </w:rPr>
          <w:t xml:space="preserve">https://hal.science/hal-00266644/document</w:t>
        </w:r>
        <w:r>
          <w:rPr>
            <w:rStyle w:val="892"/>
            <w:highlight w:val="none"/>
            <w:lang w:val="fr-FR"/>
          </w:rPr>
        </w:r>
        <w:r>
          <w:rPr>
            <w:rStyle w:val="892"/>
            <w:highlight w:val="none"/>
            <w:lang w:val="fr-FR"/>
          </w:rPr>
        </w:r>
      </w:hyperlink>
      <w:r>
        <w:rPr>
          <w:lang w:val="fr-FR"/>
        </w:rPr>
        <w:br/>
      </w:r>
      <w:r>
        <w:rPr>
          <w:highlight w:val="none"/>
          <w:lang w:val="fr-FR"/>
        </w:rPr>
        <w:t xml:space="preserve">Période étudié : néolithique. </w:t>
        <w:br/>
        <w:t xml:space="preserve">Localisation du site : </w:t>
      </w:r>
      <w:r>
        <w:rPr>
          <w:highlight w:val="none"/>
          <w:lang w:val="fr-FR"/>
        </w:rPr>
        <w:t xml:space="preserve">Le site de Grelette est situé sur la commune de Bussière-Galant au sommet d’une colline de 513 mètres.</w:t>
      </w:r>
      <w:r>
        <w:rPr>
          <w:highlight w:val="none"/>
          <w:lang w:val="fr-FR"/>
        </w:rPr>
      </w:r>
      <w:r>
        <w:rPr>
          <w:highlight w:val="none"/>
          <w:lang w:val="fr-FR"/>
        </w:rPr>
      </w:r>
    </w:p>
    <w:p>
      <w:pPr>
        <w:pStyle w:val="851"/>
        <w:pBdr/>
        <w:spacing/>
        <w:ind/>
        <w:rPr>
          <w:highlight w:val="none"/>
          <w:lang w:val="fr-FR"/>
          <w14:ligatures w14:val="none"/>
        </w:rPr>
      </w:pPr>
      <w:r>
        <w:rPr>
          <w:highlight w:val="none"/>
          <w:lang w:val="fr-FR"/>
        </w:rPr>
        <w:t xml:space="preserve">2. </w:t>
      </w:r>
      <w:r>
        <w:rPr>
          <w:highlight w:val="none"/>
          <w:lang w:val="fr-FR"/>
        </w:rPr>
        <w:t xml:space="preserve">Emaux</w:t>
      </w:r>
      <w:r>
        <w:rPr>
          <w:highlight w:val="none"/>
          <w:lang w:val="fr-FR"/>
        </w:rPr>
      </w:r>
      <w:r>
        <w:rPr>
          <w:highlight w:val="none"/>
          <w:lang w:val="fr-FR"/>
        </w:rPr>
      </w:r>
    </w:p>
    <w:p>
      <w:pPr>
        <w:pBdr>
          <w:top w:val="none" w:color="000000" w:sz="4" w:space="0"/>
          <w:left w:val="none" w:color="000000" w:sz="4" w:space="0"/>
          <w:bottom w:val="none" w:color="000000" w:sz="4" w:space="0"/>
          <w:right w:val="none" w:color="000000" w:sz="4" w:space="0"/>
        </w:pBdr>
        <w:shd w:val="clear" w:color="f6f6f6" w:fill="f6f6f6"/>
        <w:spacing w:after="120"/>
        <w:ind w:right="0" w:firstLine="0" w:left="709"/>
        <w:rPr>
          <w:lang w:val="fr-FR"/>
        </w:rPr>
      </w:pPr>
      <w:r>
        <w:rPr>
          <w:highlight w:val="none"/>
          <w:lang w:val="fr-FR"/>
        </w:rPr>
      </w:r>
      <w:r>
        <w:rPr>
          <w:highlight w:val="none"/>
          <w:lang w:val="fr-FR"/>
        </w:rPr>
        <w:t xml:space="preserve">Article sur la couleur des émaux : </w:t>
        <w:br/>
        <w:t xml:space="preserve">Référence de l’article : </w:t>
      </w:r>
      <w:r>
        <w:rPr>
          <w:highlight w:val="none"/>
          <w:lang w:val="fr-FR"/>
        </w:rPr>
        <w:t xml:space="preserve">Couleurs et émaux. Des décors de la Manufacture de Sèvres à la réactivité des pigments</w:t>
      </w:r>
      <w:r>
        <w:rPr>
          <w:lang w:val="fr-FR"/>
        </w:rPr>
      </w:r>
      <w:r>
        <w:rPr>
          <w:lang w:val="fr-FR"/>
        </w:rPr>
      </w:r>
    </w:p>
    <w:p>
      <w:pPr>
        <w:pBdr>
          <w:top w:val="none" w:color="000000" w:sz="4" w:space="0"/>
          <w:left w:val="none" w:color="000000" w:sz="4" w:space="0"/>
          <w:bottom w:val="none" w:color="000000" w:sz="4" w:space="0"/>
          <w:right w:val="none" w:color="000000" w:sz="4" w:space="0"/>
        </w:pBdr>
        <w:shd w:val="clear" w:color="f6f6f6" w:fill="f6f6f6"/>
        <w:spacing w:after="120"/>
        <w:ind w:right="0" w:firstLine="0" w:left="709"/>
        <w:rPr>
          <w:lang w:val="fr-FR"/>
        </w:rPr>
      </w:pPr>
      <w:r>
        <w:rPr>
          <w:highlight w:val="none"/>
          <w:lang w:val="fr-FR"/>
        </w:rPr>
        <w:t xml:space="preserve">Louisiane  Verger, Olivier  Dargaud, Laurent  Cormier</w:t>
      </w:r>
      <w:r>
        <w:rPr>
          <w:lang w:val="fr-FR"/>
        </w:rPr>
      </w:r>
      <w:r>
        <w:rPr>
          <w:lang w:val="fr-FR"/>
        </w:rPr>
      </w:r>
    </w:p>
    <w:p>
      <w:pPr>
        <w:pBdr>
          <w:top w:val="none" w:color="000000" w:sz="4" w:space="0"/>
          <w:left w:val="none" w:color="000000" w:sz="4" w:space="0"/>
          <w:bottom w:val="none" w:color="000000" w:sz="4" w:space="0"/>
          <w:right w:val="none" w:color="000000" w:sz="4" w:space="0"/>
        </w:pBdr>
        <w:shd w:val="clear" w:color="f6f6f6" w:fill="f6f6f6"/>
        <w:spacing w:after="120"/>
        <w:ind w:right="0" w:firstLine="0" w:left="709"/>
        <w:rPr>
          <w:lang w:val="fr-FR"/>
        </w:rPr>
      </w:pPr>
      <w:r>
        <w:rPr>
          <w:highlight w:val="none"/>
          <w:lang w:val="fr-FR"/>
        </w:rPr>
        <w:t xml:space="preserve">Reflets phys.  (63) 26-29 (2019)</w:t>
      </w:r>
      <w:r>
        <w:rPr>
          <w:lang w:val="fr-FR"/>
        </w:rPr>
      </w:r>
      <w:r>
        <w:rPr>
          <w:lang w:val="fr-FR"/>
        </w:rPr>
      </w:r>
    </w:p>
    <w:p>
      <w:pPr>
        <w:pBdr>
          <w:top w:val="none" w:color="000000" w:sz="4" w:space="0"/>
          <w:left w:val="none" w:color="000000" w:sz="4" w:space="0"/>
          <w:bottom w:val="none" w:color="000000" w:sz="4" w:space="0"/>
          <w:right w:val="none" w:color="000000" w:sz="4" w:space="0"/>
        </w:pBdr>
        <w:shd w:val="clear" w:color="f6f6f6" w:fill="f6f6f6"/>
        <w:spacing w:after="120"/>
        <w:ind w:right="0" w:firstLine="0" w:left="709"/>
        <w:rPr>
          <w:highlight w:val="none"/>
          <w:lang w:val="fr-FR"/>
        </w:rPr>
      </w:pPr>
      <w:r>
        <w:rPr>
          <w:highlight w:val="none"/>
          <w:lang w:val="fr-FR"/>
        </w:rPr>
        <w:t xml:space="preserve">DOI: </w:t>
      </w:r>
      <w:r>
        <w:rPr>
          <w:rFonts w:ascii="Open Sans" w:hAnsi="Open Sans" w:eastAsia="Open Sans" w:cs="Open Sans"/>
          <w:color w:val="000000"/>
          <w:sz w:val="21"/>
          <w:highlight w:val="white"/>
          <w:lang w:val="fr-FR"/>
        </w:rPr>
        <w:t xml:space="preserve"> </w:t>
      </w:r>
      <w:hyperlink r:id="rId11" w:tooltip="https://doi.org/10.1051/refdp/201963026" w:history="1">
        <w:r>
          <w:rPr>
            <w:rStyle w:val="892"/>
            <w:rFonts w:ascii="Open Sans" w:hAnsi="Open Sans" w:eastAsia="Open Sans" w:cs="Open Sans"/>
            <w:sz w:val="21"/>
            <w:highlight w:val="white"/>
            <w:lang w:val="fr-FR"/>
          </w:rPr>
          <w:t xml:space="preserve">https://doi.org/10.1051/refdp/201963026</w:t>
        </w:r>
        <w:r>
          <w:rPr>
            <w:rStyle w:val="892"/>
            <w:highlight w:val="none"/>
            <w:lang w:val="fr-FR"/>
          </w:rPr>
        </w:r>
        <w:r>
          <w:rPr>
            <w:rStyle w:val="892"/>
            <w:highlight w:val="none"/>
            <w:lang w:val="fr-FR"/>
          </w:rPr>
        </w:r>
        <w:r>
          <w:rPr>
            <w:rStyle w:val="892"/>
            <w:highlight w:val="none"/>
            <w:lang w:val="fr-FR"/>
          </w:rPr>
        </w:r>
        <w:r>
          <w:rPr>
            <w:rStyle w:val="892"/>
            <w:highlight w:val="none"/>
            <w:lang w:val="fr-FR"/>
          </w:rPr>
        </w:r>
        <w:r>
          <w:rPr>
            <w:rStyle w:val="892"/>
            <w:highlight w:val="none"/>
            <w:lang w:val="fr-FR"/>
          </w:rPr>
        </w:r>
      </w:hyperlink>
      <w:r>
        <w:rPr>
          <w:highlight w:val="none"/>
          <w:lang w:val="fr-FR"/>
        </w:rPr>
      </w:r>
      <w:r>
        <w:rPr>
          <w:highlight w:val="none"/>
          <w:lang w:val="fr-FR"/>
        </w:rPr>
      </w:r>
    </w:p>
    <w:p>
      <w:pPr>
        <w:pStyle w:val="849"/>
        <w:pBdr/>
        <w:spacing/>
        <w:ind/>
        <w:rPr>
          <w:highlight w:val="none"/>
          <w:lang w:val="fr-FR"/>
        </w:rPr>
      </w:pPr>
      <w:r>
        <w:rPr>
          <w:highlight w:val="none"/>
          <w:lang w:val="fr-FR"/>
        </w:rPr>
        <w:t xml:space="preserve">3. </w:t>
      </w:r>
      <w:r>
        <w:rPr>
          <w:highlight w:val="none"/>
          <w:lang w:val="fr-FR"/>
        </w:rPr>
        <w:t xml:space="preserve">Suivre le fil</w:t>
      </w:r>
      <w:r>
        <w:rPr>
          <w:highlight w:val="none"/>
          <w:lang w:val="fr-FR"/>
        </w:rPr>
      </w:r>
      <w:r>
        <w:rPr>
          <w:highlight w:val="none"/>
          <w:lang w:val="fr-FR"/>
        </w:rPr>
      </w:r>
    </w:p>
    <w:p>
      <w:pPr>
        <w:pBdr/>
        <w:spacing/>
        <w:ind w:firstLine="0" w:left="0"/>
        <w:rPr>
          <w:highlight w:val="none"/>
          <w:lang w:val="fr-FR"/>
        </w:rPr>
      </w:pPr>
      <w:r>
        <w:rPr>
          <w:highlight w:val="none"/>
          <w:lang w:val="fr-FR"/>
        </w:rPr>
      </w:r>
      <w:r>
        <w:rPr>
          <w:rFonts w:ascii="Open Sans" w:hAnsi="Open Sans" w:eastAsia="Open Sans" w:cs="Open Sans"/>
          <w:sz w:val="21"/>
          <w:highlight w:val="none"/>
          <w:lang w:val="fr-FR"/>
        </w:rPr>
        <w:t xml:space="preserve">Lien vers l’article : </w:t>
      </w:r>
      <w:r>
        <w:rPr>
          <w:highlight w:val="none"/>
          <w:lang w:val="fr-FR"/>
        </w:rPr>
      </w:r>
      <w:hyperlink r:id="rId12" w:tooltip="https://lelementarium.fr/element-fiche/or/" w:history="1">
        <w:r>
          <w:rPr>
            <w:rStyle w:val="892"/>
            <w:highlight w:val="none"/>
            <w:lang w:val="fr-FR"/>
          </w:rPr>
          <w:t xml:space="preserve">https://lelementarium.fr/element-fiche/or/</w:t>
        </w:r>
        <w:r>
          <w:rPr>
            <w:rStyle w:val="892"/>
            <w:highlight w:val="none"/>
            <w:lang w:val="fr-FR"/>
          </w:rPr>
        </w:r>
        <w:r>
          <w:rPr>
            <w:rStyle w:val="892"/>
            <w:highlight w:val="none"/>
            <w:lang w:val="fr-FR"/>
          </w:rPr>
        </w:r>
      </w:hyperlink>
      <w:r>
        <w:rPr>
          <w:highlight w:val="none"/>
          <w:lang w:val="fr-FR"/>
        </w:rPr>
      </w:r>
      <w:r>
        <w:rPr>
          <w:highlight w:val="none"/>
          <w:lang w:val="fr-FR"/>
        </w:rPr>
      </w:r>
    </w:p>
    <w:p>
      <w:pPr>
        <w:pBdr/>
        <w:spacing/>
        <w:ind w:firstLine="0" w:left="0"/>
        <w:rPr>
          <w:highlight w:val="none"/>
          <w:lang w:val="fr-FR"/>
        </w:rPr>
      </w:pPr>
      <w:r>
        <w:rPr>
          <w:highlight w:val="none"/>
          <w:lang w:val="fr-FR"/>
        </w:rPr>
      </w:r>
      <w:r>
        <w:rPr>
          <w:highlight w:val="none"/>
          <w:lang w:val="fr-FR"/>
        </w:rPr>
        <w:t xml:space="preserve">La mine de Salsigne</w:t>
      </w:r>
      <w:r>
        <w:rPr>
          <w:highlight w:val="none"/>
          <w:lang w:val="fr-FR"/>
        </w:rPr>
        <w:t xml:space="preserve"> </w:t>
      </w:r>
      <w:r>
        <w:rPr>
          <w:highlight w:val="none"/>
          <w:lang w:val="fr-FR"/>
        </w:rPr>
        <w:t xml:space="preserve">(11), fermée fin 2004, a été au cours du XXème siècle la plus importante mine européenne.</w:t>
        <w:br/>
      </w:r>
      <w:r>
        <w:rPr>
          <w:highlight w:val="none"/>
          <w:lang w:val="fr-FR"/>
        </w:rPr>
        <w:t xml:space="preserve">Les mines du Bourneix et de Lauriéras, situées à la limite de la Haute Vienne et de la Dordogne, ont été exploitées de 1982 à 2001</w:t>
      </w:r>
      <w:r>
        <w:rPr>
          <w:highlight w:val="none"/>
          <w:lang w:val="fr-FR"/>
        </w:rPr>
        <w:t xml:space="preserve">.</w:t>
        <w:br/>
        <w:t xml:space="preserve">Les mines de Salsigne </w:t>
      </w:r>
      <w:r>
        <w:rPr>
          <w:highlight w:val="none"/>
          <w:lang w:val="fr-FR"/>
        </w:rPr>
        <w:t xml:space="preserve"> </w:t>
      </w:r>
      <w:r>
        <w:rPr>
          <w:highlight w:val="none"/>
          <w:lang w:val="fr-FR"/>
        </w:rPr>
        <w:t xml:space="preserve">dans l’Aude</w:t>
      </w:r>
      <w:r>
        <w:rPr>
          <w:highlight w:val="none"/>
          <w:lang w:val="fr-FR"/>
        </w:rPr>
        <w:t xml:space="preserve"> (11), du Bourneix et de Lauriéras</w:t>
      </w:r>
      <w:r>
        <w:rPr>
          <w:highlight w:val="none"/>
          <w:lang w:val="fr-FR"/>
        </w:rPr>
        <w:t xml:space="preserve"> </w:t>
      </w:r>
      <w:r>
        <w:rPr>
          <w:highlight w:val="none"/>
          <w:lang w:val="fr-FR"/>
        </w:rPr>
        <w:t xml:space="preserve"> situées à la limite de la Haute Vienne et de la Dordogne</w:t>
      </w:r>
      <w:r>
        <w:rPr>
          <w:highlight w:val="none"/>
          <w:lang w:val="fr-FR"/>
        </w:rPr>
        <w:t xml:space="preserve">. Sont d’anciennes mines d’or françaises qui ont arrêté leur production au début des </w:t>
      </w:r>
      <w:r>
        <w:rPr>
          <w:highlight w:val="none"/>
          <w:lang w:val="fr-FR"/>
        </w:rPr>
        <w:t xml:space="preserve">ann</w:t>
      </w:r>
      <w:r>
        <w:rPr>
          <w:highlight w:val="none"/>
          <w:lang w:val="fr-FR"/>
        </w:rPr>
        <w:t xml:space="preserve">ées</w:t>
      </w:r>
      <w:r>
        <w:rPr>
          <w:highlight w:val="none"/>
          <w:lang w:val="fr-FR"/>
        </w:rPr>
        <w:t xml:space="preserve"> 2000.</w:t>
      </w:r>
      <w:r>
        <w:rPr>
          <w:lang w:val="fr-FR"/>
        </w:rPr>
      </w:r>
      <w:r>
        <w:rPr>
          <w:highlight w:val="none"/>
          <w:lang w:val="fr-FR"/>
        </w:rPr>
      </w:r>
    </w:p>
    <w:p>
      <w:pPr>
        <w:pBdr/>
        <w:spacing/>
        <w:ind w:firstLine="0" w:left="0"/>
        <w:rPr>
          <w:highlight w:val="none"/>
          <w:lang w:val="fr-FR"/>
        </w:rPr>
      </w:pPr>
      <w:r>
        <w:rPr>
          <w:highlight w:val="none"/>
          <w:lang w:val="fr-FR"/>
        </w:rPr>
        <w:t xml:space="preserve">La dernière mine d’or encore en activité à ce jour en France se situe en Guyane.</w:t>
      </w:r>
      <w:r>
        <w:rPr>
          <w:highlight w:val="none"/>
          <w:lang w:val="fr-FR"/>
        </w:rPr>
      </w:r>
      <w:r>
        <w:rPr>
          <w:highlight w:val="none"/>
          <w:lang w:val="fr-FR"/>
        </w:rPr>
      </w:r>
    </w:p>
    <w:p>
      <w:pPr>
        <w:pBdr/>
        <w:spacing/>
        <w:ind w:firstLine="0" w:left="0"/>
        <w:rPr>
          <w:highlight w:val="none"/>
          <w:lang w:val="fr-FR"/>
        </w:rPr>
      </w:pPr>
      <w:r>
        <w:rPr>
          <w:highlight w:val="none"/>
          <w:lang w:val="fr-FR"/>
        </w:rPr>
        <w:t xml:space="preserve">Lien vers la page officielle du rapport parlementaire : </w:t>
      </w:r>
      <w:r>
        <w:rPr>
          <w:highlight w:val="none"/>
          <w:lang w:val="fr-FR"/>
        </w:rPr>
      </w:r>
      <w:hyperlink r:id="rId13" w:tooltip="https://www.vie-publique.fr/rapport/24531-lor-en-guyane-eclats-et-artifices" w:history="1">
        <w:r>
          <w:rPr>
            <w:rStyle w:val="892"/>
            <w:highlight w:val="none"/>
            <w:lang w:val="fr-FR"/>
          </w:rPr>
          <w:t xml:space="preserve">https://www.vie-publique.fr/rapport/24531-lor-en-guyane-eclats-et-artifices</w:t>
        </w:r>
        <w:r>
          <w:rPr>
            <w:rStyle w:val="892"/>
            <w:highlight w:val="none"/>
            <w:lang w:val="fr-FR"/>
          </w:rPr>
        </w:r>
        <w:r>
          <w:rPr>
            <w:rStyle w:val="892"/>
            <w:highlight w:val="none"/>
            <w:lang w:val="fr-FR"/>
          </w:rPr>
        </w:r>
      </w:hyperlink>
      <w:r>
        <w:rPr>
          <w:highlight w:val="none"/>
          <w:lang w:val="fr-FR"/>
        </w:rPr>
        <w:br/>
      </w:r>
      <w:r>
        <w:rPr>
          <w:highlight w:val="none"/>
          <w:lang w:val="fr-FR"/>
        </w:rPr>
        <w:t xml:space="preserve">Lien vers</w:t>
      </w:r>
      <w:r>
        <w:rPr>
          <w:highlight w:val="none"/>
          <w:lang w:val="fr-FR"/>
        </w:rPr>
        <w:t xml:space="preserve"> le rapport parlementaire : </w:t>
      </w:r>
      <w:r>
        <w:rPr>
          <w:highlight w:val="none"/>
          <w:lang w:val="fr-FR"/>
        </w:rPr>
      </w:r>
      <w:hyperlink r:id="rId14" w:tooltip="https://www.vie-publique.fr/files/rapport/pdf/004001895.pdf" w:history="1">
        <w:r>
          <w:rPr>
            <w:rStyle w:val="892"/>
            <w:highlight w:val="none"/>
            <w:lang w:val="fr-FR"/>
          </w:rPr>
          <w:t xml:space="preserve">https://www.vie-publique.fr/files/rapport/pdf/004001895.pdf</w:t>
        </w:r>
        <w:r>
          <w:rPr>
            <w:rStyle w:val="892"/>
            <w:highlight w:val="none"/>
            <w:lang w:val="fr-FR"/>
          </w:rPr>
        </w:r>
        <w:r>
          <w:rPr>
            <w:rStyle w:val="892"/>
            <w:highlight w:val="none"/>
            <w:lang w:val="fr-FR"/>
          </w:rPr>
        </w:r>
      </w:hyperlink>
      <w:r>
        <w:rPr>
          <w:highlight w:val="none"/>
          <w:lang w:val="fr-FR"/>
        </w:rPr>
        <w:br/>
      </w:r>
      <w:r>
        <w:rPr>
          <w:highlight w:val="none"/>
          <w:lang w:val="fr-FR"/>
        </w:rPr>
      </w:r>
      <w:r>
        <w:rPr>
          <w:highlight w:val="none"/>
          <w:lang w:val="fr-FR"/>
        </w:rPr>
      </w:r>
    </w:p>
    <w:p>
      <w:pPr>
        <w:pBdr/>
        <w:spacing/>
        <w:ind w:firstLine="0" w:left="0"/>
        <w:rPr>
          <w:highlight w:val="none"/>
          <w:lang w:val="fr-FR"/>
        </w:rPr>
      </w:pPr>
      <w:r>
        <w:rPr>
          <w:highlight w:val="none"/>
          <w:lang w:val="fr-FR"/>
        </w:rPr>
        <w:t xml:space="preserve">L’exploitation minière en Guyanne impliques des risques important pour la santé humaine autant pou</w:t>
      </w:r>
      <w:r>
        <w:rPr>
          <w:highlight w:val="none"/>
          <w:lang w:val="fr-FR"/>
        </w:rPr>
        <w:t xml:space="preserve">r</w:t>
      </w:r>
      <w:r>
        <w:rPr>
          <w:highlight w:val="none"/>
          <w:lang w:val="fr-FR"/>
        </w:rPr>
        <w:t xml:space="preserve"> les populations environnante</w:t>
      </w:r>
      <w:r>
        <w:rPr>
          <w:highlight w:val="none"/>
          <w:lang w:val="fr-FR"/>
        </w:rPr>
        <w:t xml:space="preserve"> </w:t>
      </w:r>
      <w:r>
        <w:rPr>
          <w:highlight w:val="none"/>
          <w:lang w:val="fr-FR"/>
        </w:rPr>
        <w:t xml:space="preserve">que pour les ouvriers. </w:t>
      </w:r>
      <w:r>
        <w:rPr>
          <w:highlight w:val="none"/>
          <w:lang w:val="fr-FR"/>
        </w:rPr>
      </w:r>
      <w:r>
        <w:rPr>
          <w:highlight w:val="none"/>
          <w:lang w:val="fr-FR"/>
        </w:rPr>
      </w:r>
    </w:p>
    <w:p>
      <w:pPr>
        <w:pBdr/>
        <w:spacing/>
        <w:ind w:firstLine="0" w:left="0"/>
        <w:rPr>
          <w:highlight w:val="none"/>
          <w:lang w:val="fr-FR"/>
        </w:rPr>
      </w:pPr>
      <w:r>
        <w:rPr>
          <w:highlight w:val="none"/>
          <w:lang w:val="fr-FR"/>
        </w:rPr>
        <w:t xml:space="preserve">Les ouvriers risque une intoxication aiguë ou c</w:t>
      </w:r>
      <w:r>
        <w:rPr>
          <w:highlight w:val="none"/>
          <w:lang w:val="fr-FR"/>
        </w:rPr>
        <w:t xml:space="preserve">hronique au mercure. Le cyanure peut entraîner lui aussi une intoxication avec effet immédiat allants des vertiges jusqu’à l’arrêt respiratoire. De plus les conditions d’hygiène sont déplorable et contribue au développement de maladies comme le paludisme. </w:t>
      </w:r>
      <w:r>
        <w:rPr>
          <w:highlight w:val="none"/>
          <w:lang w:val="fr-FR"/>
        </w:rPr>
      </w:r>
      <w:r>
        <w:rPr>
          <w:highlight w:val="none"/>
          <w:lang w:val="fr-FR"/>
        </w:rPr>
      </w:r>
    </w:p>
    <w:p>
      <w:pPr>
        <w:pBdr/>
        <w:spacing/>
        <w:ind w:firstLine="0" w:left="0"/>
        <w:rPr>
          <w:highlight w:val="none"/>
          <w:lang w:val="fr-FR"/>
        </w:rPr>
      </w:pPr>
      <w:r>
        <w:rPr>
          <w:highlight w:val="none"/>
          <w:lang w:val="fr-FR"/>
        </w:rPr>
        <w:t xml:space="preserve">Les populations locales peuvent être co</w:t>
      </w:r>
      <w:r>
        <w:rPr>
          <w:highlight w:val="none"/>
          <w:lang w:val="fr-FR"/>
        </w:rPr>
        <w:t xml:space="preserve">ntaminée par le méthylmercure via la consommation de poisson. Cela entraîne des Troubles neurologiques chez l’enfant. Le cyanure lui, pollue les cours d’eau et dégrade la qualité de l’eau potable, ce qui augmente la prolifération des maladies infectieuses.</w:t>
      </w:r>
      <w:r>
        <w:rPr>
          <w:highlight w:val="none"/>
          <w:lang w:val="fr-FR"/>
        </w:rPr>
      </w:r>
      <w:r>
        <w:rPr>
          <w:highlight w:val="none"/>
          <w:lang w:val="fr-FR"/>
        </w:rPr>
      </w:r>
    </w:p>
    <w:p>
      <w:pPr>
        <w:pStyle w:val="849"/>
        <w:pBdr/>
        <w:spacing/>
        <w:ind/>
        <w:rPr>
          <w:highlight w:val="none"/>
          <w:lang w:val="fr-FR"/>
        </w:rPr>
      </w:pPr>
      <w:r>
        <w:rPr>
          <w:highlight w:val="none"/>
          <w:lang w:val="fr-FR"/>
        </w:rPr>
        <w:t xml:space="preserve">4. </w:t>
      </w:r>
      <w:r>
        <w:rPr>
          <w:highlight w:val="none"/>
          <w:lang w:val="fr-FR"/>
        </w:rPr>
        <w:t xml:space="preserve">Faire la part des choses</w:t>
      </w:r>
      <w:r>
        <w:rPr>
          <w:highlight w:val="none"/>
          <w:lang w:val="fr-FR"/>
        </w:rPr>
      </w:r>
      <w:r>
        <w:rPr>
          <w:highlight w:val="none"/>
          <w:lang w:val="fr-FR"/>
        </w:rPr>
      </w:r>
    </w:p>
    <w:tbl>
      <w:tblPr>
        <w:tblStyle w:val="721"/>
        <w:tblW w:w="0" w:type="auto"/>
        <w:tblBorders/>
        <w:tblLayout w:type="fixed"/>
        <w:tblLook w:val="04A0" w:firstRow="1" w:lastRow="0" w:firstColumn="1" w:lastColumn="0" w:noHBand="0" w:noVBand="1"/>
      </w:tblPr>
      <w:tblGrid>
        <w:gridCol w:w="5244"/>
        <w:gridCol w:w="2126"/>
        <w:gridCol w:w="1985"/>
      </w:tblGrid>
      <w:tr>
        <w:trPr/>
        <w:tc>
          <w:tcPr>
            <w:tcBorders/>
            <w:tcW w:w="5244" w:type="dxa"/>
            <w:textDirection w:val="lrTb"/>
            <w:noWrap w:val="false"/>
          </w:tcPr>
          <w:p>
            <w:pPr>
              <w:pBdr/>
              <w:spacing/>
              <w:ind/>
              <w:rPr>
                <w:highlight w:val="none"/>
                <w:lang w:val="fr-FR"/>
              </w:rPr>
            </w:pPr>
            <w:r>
              <w:rPr>
                <w:highlight w:val="none"/>
                <w:lang w:val="fr-FR"/>
              </w:rPr>
              <w:t xml:space="preserve">Article</w:t>
            </w:r>
            <w:r>
              <w:rPr>
                <w:highlight w:val="none"/>
                <w:lang w:val="fr-FR"/>
              </w:rPr>
            </w:r>
            <w:r>
              <w:rPr>
                <w:highlight w:val="none"/>
                <w:lang w:val="fr-FR"/>
              </w:rPr>
            </w:r>
          </w:p>
        </w:tc>
        <w:tc>
          <w:tcPr>
            <w:tcBorders/>
            <w:tcW w:w="2126" w:type="dxa"/>
            <w:textDirection w:val="lrTb"/>
            <w:noWrap w:val="false"/>
          </w:tcPr>
          <w:p>
            <w:pPr>
              <w:pBdr/>
              <w:spacing/>
              <w:ind/>
              <w:rPr>
                <w:highlight w:val="none"/>
                <w:lang w:val="fr-FR"/>
              </w:rPr>
            </w:pPr>
            <w:r>
              <w:rPr>
                <w:highlight w:val="none"/>
                <w:lang w:val="fr-FR"/>
              </w:rPr>
              <w:t xml:space="preserve">Article scientifique</w:t>
            </w:r>
            <w:r>
              <w:rPr>
                <w:highlight w:val="none"/>
                <w:lang w:val="fr-FR"/>
              </w:rPr>
            </w:r>
            <w:r>
              <w:rPr>
                <w:highlight w:val="none"/>
                <w:lang w:val="fr-FR"/>
              </w:rPr>
            </w:r>
          </w:p>
        </w:tc>
        <w:tc>
          <w:tcPr>
            <w:tcBorders/>
            <w:tcW w:w="1985" w:type="dxa"/>
            <w:textDirection w:val="lrTb"/>
            <w:noWrap w:val="false"/>
          </w:tcPr>
          <w:p>
            <w:pPr>
              <w:pBdr/>
              <w:spacing/>
              <w:ind/>
              <w:rPr>
                <w:highlight w:val="none"/>
                <w:lang w:val="fr-FR"/>
              </w:rPr>
            </w:pPr>
            <w:r>
              <w:rPr>
                <w:highlight w:val="none"/>
                <w:lang w:val="fr-FR"/>
              </w:rPr>
              <w:t xml:space="preserve">Article parodique</w:t>
            </w:r>
            <w:r>
              <w:rPr>
                <w:highlight w:val="none"/>
                <w:lang w:val="fr-FR"/>
              </w:rPr>
            </w:r>
            <w:r>
              <w:rPr>
                <w:highlight w:val="none"/>
                <w:lang w:val="fr-FR"/>
              </w:rPr>
            </w:r>
          </w:p>
        </w:tc>
      </w:tr>
      <w:tr>
        <w:trPr/>
        <w:tc>
          <w:tcPr>
            <w:tcBorders/>
            <w:tcW w:w="5244" w:type="dxa"/>
            <w:textDirection w:val="lrTb"/>
            <w:noWrap w:val="false"/>
          </w:tcPr>
          <w:p>
            <w:pPr>
              <w:pBdr/>
              <w:spacing/>
              <w:ind/>
              <w:rPr>
                <w:highlight w:val="none"/>
                <w:lang w:val="fr-FR"/>
              </w:rPr>
            </w:pPr>
            <w:r>
              <w:rPr>
                <w:highlight w:val="none"/>
                <w:lang w:val="fr-FR"/>
              </w:rPr>
              <w:t xml:space="preserve">De la rhéologie des chats</w:t>
            </w:r>
            <w:r>
              <w:rPr>
                <w:highlight w:val="none"/>
                <w:lang w:val="fr-FR"/>
              </w:rPr>
            </w:r>
            <w:r>
              <w:rPr>
                <w:highlight w:val="none"/>
                <w:lang w:val="fr-FR"/>
              </w:rPr>
            </w:r>
          </w:p>
        </w:tc>
        <w:tc>
          <w:tcPr>
            <w:tcBorders/>
            <w:tcW w:w="2126" w:type="dxa"/>
            <w:textDirection w:val="lrTb"/>
            <w:noWrap w:val="false"/>
          </w:tcPr>
          <w:p>
            <w:pPr>
              <w:pBdr/>
              <w:spacing/>
              <w:ind/>
              <w:rPr>
                <w:highlight w:val="none"/>
                <w:lang w:val="fr-FR"/>
              </w:rPr>
            </w:pPr>
            <w:r>
              <w:rPr>
                <w:highlight w:val="none"/>
                <w:lang w:val="fr-FR"/>
              </w:rPr>
            </w:r>
            <w:r>
              <w:rPr>
                <w:highlight w:val="none"/>
                <w:lang w:val="fr-FR"/>
              </w:rPr>
            </w:r>
            <w:r>
              <w:rPr>
                <w:highlight w:val="none"/>
                <w:lang w:val="fr-FR"/>
              </w:rPr>
            </w:r>
          </w:p>
        </w:tc>
        <w:tc>
          <w:tcPr>
            <w:tcBorders/>
            <w:tcW w:w="1985" w:type="dxa"/>
            <w:textDirection w:val="lrTb"/>
            <w:noWrap w:val="false"/>
          </w:tcPr>
          <w:p>
            <w:pPr>
              <w:pBdr/>
              <w:spacing/>
              <w:ind/>
              <w:rPr>
                <w:highlight w:val="none"/>
                <w:lang w:val="fr-FR"/>
              </w:rPr>
            </w:pPr>
            <w:r>
              <w:rPr>
                <w:highlight w:val="none"/>
                <w:lang w:val="fr-FR"/>
              </w:rPr>
              <w:t xml:space="preserve">x</w:t>
            </w:r>
            <w:r>
              <w:rPr>
                <w:highlight w:val="none"/>
                <w:lang w:val="fr-FR"/>
              </w:rPr>
            </w:r>
            <w:r>
              <w:rPr>
                <w:highlight w:val="none"/>
                <w:lang w:val="fr-FR"/>
              </w:rPr>
            </w:r>
          </w:p>
        </w:tc>
      </w:tr>
      <w:tr>
        <w:trPr/>
        <w:tc>
          <w:tcPr>
            <w:tcBorders/>
            <w:tcW w:w="5244" w:type="dxa"/>
            <w:textDirection w:val="lrTb"/>
            <w:noWrap w:val="false"/>
          </w:tcPr>
          <w:p>
            <w:pPr>
              <w:pBdr/>
              <w:spacing/>
              <w:ind/>
              <w:rPr>
                <w:highlight w:val="none"/>
                <w:lang w:val="fr-FR"/>
              </w:rPr>
            </w:pPr>
            <w:r>
              <w:rPr>
                <w:highlight w:val="none"/>
                <w:lang w:val="fr-FR"/>
              </w:rPr>
              <w:t xml:space="preserve">Jus de fruits frais</w:t>
            </w:r>
            <w:r>
              <w:rPr>
                <w:highlight w:val="none"/>
                <w:lang w:val="fr-FR"/>
              </w:rPr>
            </w:r>
            <w:r>
              <w:rPr>
                <w:highlight w:val="none"/>
                <w:lang w:val="fr-FR"/>
              </w:rPr>
            </w:r>
          </w:p>
        </w:tc>
        <w:tc>
          <w:tcPr>
            <w:tcBorders/>
            <w:tcW w:w="2126" w:type="dxa"/>
            <w:textDirection w:val="lrTb"/>
            <w:noWrap w:val="false"/>
          </w:tcPr>
          <w:p>
            <w:pPr>
              <w:pBdr/>
              <w:spacing/>
              <w:ind/>
              <w:rPr>
                <w:highlight w:val="none"/>
                <w:lang w:val="fr-FR"/>
              </w:rPr>
            </w:pPr>
            <w:r>
              <w:rPr>
                <w:highlight w:val="none"/>
                <w:lang w:val="fr-FR"/>
              </w:rPr>
            </w:r>
            <w:r>
              <w:rPr>
                <w:highlight w:val="none"/>
                <w:lang w:val="fr-FR"/>
              </w:rPr>
            </w:r>
            <w:r>
              <w:rPr>
                <w:highlight w:val="none"/>
                <w:lang w:val="fr-FR"/>
              </w:rPr>
            </w:r>
          </w:p>
        </w:tc>
        <w:tc>
          <w:tcPr>
            <w:tcBorders/>
            <w:tcW w:w="1985" w:type="dxa"/>
            <w:textDirection w:val="lrTb"/>
            <w:noWrap w:val="false"/>
          </w:tcPr>
          <w:p>
            <w:pPr>
              <w:pBdr/>
              <w:spacing/>
              <w:ind/>
              <w:rPr>
                <w:highlight w:val="none"/>
                <w:lang w:val="fr-FR"/>
              </w:rPr>
            </w:pPr>
            <w:r>
              <w:rPr>
                <w:highlight w:val="none"/>
                <w:lang w:val="fr-FR"/>
              </w:rPr>
              <w:t xml:space="preserve">x</w:t>
            </w:r>
            <w:r>
              <w:rPr>
                <w:highlight w:val="none"/>
                <w:lang w:val="fr-FR"/>
              </w:rPr>
            </w:r>
            <w:r>
              <w:rPr>
                <w:highlight w:val="none"/>
                <w:lang w:val="fr-FR"/>
              </w:rPr>
            </w:r>
          </w:p>
        </w:tc>
      </w:tr>
      <w:tr>
        <w:trPr/>
        <w:tc>
          <w:tcPr>
            <w:tcBorders/>
            <w:tcW w:w="5244" w:type="dxa"/>
            <w:textDirection w:val="lrTb"/>
            <w:noWrap w:val="false"/>
          </w:tcPr>
          <w:p>
            <w:pPr>
              <w:pBdr/>
              <w:spacing/>
              <w:ind/>
              <w:rPr>
                <w:highlight w:val="none"/>
                <w:lang w:val="fr-FR"/>
              </w:rPr>
            </w:pPr>
            <w:r>
              <w:rPr>
                <w:highlight w:val="none"/>
                <w:lang w:val="fr-FR"/>
              </w:rPr>
              <w:t xml:space="preserve">Détermination expérimentale d’une organisation tomatotopique ...</w:t>
            </w:r>
            <w:r>
              <w:rPr>
                <w:highlight w:val="none"/>
                <w:lang w:val="fr-FR"/>
              </w:rPr>
            </w:r>
            <w:r>
              <w:rPr>
                <w:highlight w:val="none"/>
                <w:lang w:val="fr-FR"/>
              </w:rPr>
            </w:r>
          </w:p>
        </w:tc>
        <w:tc>
          <w:tcPr>
            <w:tcBorders/>
            <w:tcW w:w="2126" w:type="dxa"/>
            <w:textDirection w:val="lrTb"/>
            <w:noWrap w:val="false"/>
          </w:tcPr>
          <w:p>
            <w:pPr>
              <w:pBdr/>
              <w:spacing/>
              <w:ind/>
              <w:rPr>
                <w:highlight w:val="none"/>
                <w:lang w:val="fr-FR"/>
              </w:rPr>
            </w:pPr>
            <w:r>
              <w:rPr>
                <w:highlight w:val="none"/>
                <w:lang w:val="fr-FR"/>
              </w:rPr>
            </w:r>
            <w:r>
              <w:rPr>
                <w:highlight w:val="none"/>
                <w:lang w:val="fr-FR"/>
              </w:rPr>
            </w:r>
            <w:r>
              <w:rPr>
                <w:highlight w:val="none"/>
                <w:lang w:val="fr-FR"/>
              </w:rPr>
            </w:r>
          </w:p>
        </w:tc>
        <w:tc>
          <w:tcPr>
            <w:tcBorders/>
            <w:tcW w:w="1985" w:type="dxa"/>
            <w:textDirection w:val="lrTb"/>
            <w:noWrap w:val="false"/>
          </w:tcPr>
          <w:p>
            <w:pPr>
              <w:pBdr/>
              <w:spacing/>
              <w:ind/>
              <w:rPr>
                <w:highlight w:val="none"/>
                <w:lang w:val="fr-FR"/>
              </w:rPr>
            </w:pPr>
            <w:r>
              <w:rPr>
                <w:highlight w:val="none"/>
                <w:lang w:val="fr-FR"/>
              </w:rPr>
              <w:t xml:space="preserve">x</w:t>
            </w:r>
            <w:r>
              <w:rPr>
                <w:highlight w:val="none"/>
                <w:lang w:val="fr-FR"/>
              </w:rPr>
            </w:r>
            <w:r>
              <w:rPr>
                <w:highlight w:val="none"/>
                <w:lang w:val="fr-FR"/>
              </w:rPr>
            </w:r>
          </w:p>
        </w:tc>
      </w:tr>
      <w:tr>
        <w:trPr/>
        <w:tc>
          <w:tcPr>
            <w:tcBorders/>
            <w:tcW w:w="5244" w:type="dxa"/>
            <w:textDirection w:val="lrTb"/>
            <w:noWrap w:val="false"/>
          </w:tcPr>
          <w:p>
            <w:pPr>
              <w:pBdr/>
              <w:spacing/>
              <w:ind/>
              <w:rPr>
                <w:highlight w:val="none"/>
                <w:lang w:val="fr-FR"/>
              </w:rPr>
            </w:pPr>
            <w:r>
              <w:rPr>
                <w:highlight w:val="none"/>
                <w:lang w:val="fr-FR"/>
              </w:rPr>
              <w:t xml:space="preserve">Lécher des cailloux</w:t>
            </w:r>
            <w:r>
              <w:rPr>
                <w:highlight w:val="none"/>
                <w:lang w:val="fr-FR"/>
              </w:rPr>
            </w:r>
            <w:r>
              <w:rPr>
                <w:highlight w:val="none"/>
                <w:lang w:val="fr-FR"/>
              </w:rPr>
            </w:r>
          </w:p>
        </w:tc>
        <w:tc>
          <w:tcPr>
            <w:tcBorders/>
            <w:tcW w:w="2126" w:type="dxa"/>
            <w:textDirection w:val="lrTb"/>
            <w:noWrap w:val="false"/>
          </w:tcPr>
          <w:p>
            <w:pPr>
              <w:pBdr/>
              <w:spacing/>
              <w:ind/>
              <w:rPr>
                <w:highlight w:val="none"/>
                <w:lang w:val="fr-FR"/>
              </w:rPr>
            </w:pPr>
            <w:r>
              <w:rPr>
                <w:highlight w:val="none"/>
                <w:lang w:val="fr-FR"/>
              </w:rPr>
              <w:t xml:space="preserve">x</w:t>
            </w:r>
            <w:r>
              <w:rPr>
                <w:highlight w:val="none"/>
                <w:lang w:val="fr-FR"/>
              </w:rPr>
            </w:r>
            <w:r>
              <w:rPr>
                <w:highlight w:val="none"/>
                <w:lang w:val="fr-FR"/>
              </w:rPr>
            </w:r>
          </w:p>
        </w:tc>
        <w:tc>
          <w:tcPr>
            <w:tcBorders/>
            <w:tcW w:w="1985" w:type="dxa"/>
            <w:textDirection w:val="lrTb"/>
            <w:noWrap w:val="false"/>
          </w:tcPr>
          <w:p>
            <w:pPr>
              <w:pBdr/>
              <w:spacing/>
              <w:ind/>
              <w:rPr>
                <w:highlight w:val="none"/>
                <w:lang w:val="fr-FR"/>
              </w:rPr>
            </w:pPr>
            <w:r>
              <w:rPr>
                <w:highlight w:val="none"/>
                <w:lang w:val="fr-FR"/>
              </w:rPr>
            </w:r>
            <w:r>
              <w:rPr>
                <w:highlight w:val="none"/>
                <w:lang w:val="fr-FR"/>
              </w:rPr>
            </w:r>
            <w:r>
              <w:rPr>
                <w:highlight w:val="none"/>
                <w:lang w:val="fr-FR"/>
              </w:rPr>
            </w:r>
          </w:p>
        </w:tc>
      </w:tr>
      <w:tr>
        <w:trPr/>
        <w:tc>
          <w:tcPr>
            <w:tcBorders/>
            <w:tcW w:w="5244" w:type="dxa"/>
            <w:textDirection w:val="lrTb"/>
            <w:noWrap w:val="false"/>
          </w:tcPr>
          <w:p>
            <w:pPr>
              <w:pBdr/>
              <w:spacing/>
              <w:ind/>
              <w:rPr>
                <w:highlight w:val="none"/>
                <w:lang w:val="fr-FR"/>
              </w:rPr>
            </w:pPr>
            <w:r>
              <w:rPr>
                <w:highlight w:val="none"/>
                <w:lang w:val="fr-FR"/>
              </w:rPr>
              <w:t xml:space="preserve">Influence du sexe sur les comportements idiots</w:t>
            </w:r>
            <w:r>
              <w:rPr>
                <w:highlight w:val="none"/>
                <w:lang w:val="fr-FR"/>
              </w:rPr>
            </w:r>
            <w:r>
              <w:rPr>
                <w:highlight w:val="none"/>
                <w:lang w:val="fr-FR"/>
              </w:rPr>
            </w:r>
          </w:p>
        </w:tc>
        <w:tc>
          <w:tcPr>
            <w:tcBorders/>
            <w:tcW w:w="2126" w:type="dxa"/>
            <w:textDirection w:val="lrTb"/>
            <w:noWrap w:val="false"/>
          </w:tcPr>
          <w:p>
            <w:pPr>
              <w:pBdr/>
              <w:spacing/>
              <w:ind/>
              <w:rPr>
                <w:highlight w:val="none"/>
                <w:lang w:val="fr-FR"/>
              </w:rPr>
            </w:pPr>
            <w:r>
              <w:rPr>
                <w:highlight w:val="none"/>
                <w:lang w:val="fr-FR"/>
              </w:rPr>
            </w:r>
            <w:r>
              <w:rPr>
                <w:highlight w:val="none"/>
                <w:lang w:val="fr-FR"/>
              </w:rPr>
            </w:r>
            <w:r>
              <w:rPr>
                <w:highlight w:val="none"/>
                <w:lang w:val="fr-FR"/>
              </w:rPr>
            </w:r>
          </w:p>
        </w:tc>
        <w:tc>
          <w:tcPr>
            <w:tcBorders/>
            <w:tcW w:w="1985" w:type="dxa"/>
            <w:textDirection w:val="lrTb"/>
            <w:noWrap w:val="false"/>
          </w:tcPr>
          <w:p>
            <w:pPr>
              <w:pBdr/>
              <w:spacing/>
              <w:ind/>
              <w:rPr>
                <w:highlight w:val="none"/>
                <w:lang w:val="fr-FR"/>
              </w:rPr>
            </w:pPr>
            <w:r>
              <w:rPr>
                <w:highlight w:val="none"/>
                <w:lang w:val="fr-FR"/>
              </w:rPr>
              <w:t xml:space="preserve">x</w:t>
            </w:r>
            <w:r>
              <w:rPr>
                <w:highlight w:val="none"/>
                <w:lang w:val="fr-FR"/>
              </w:rPr>
            </w:r>
            <w:r>
              <w:rPr>
                <w:highlight w:val="none"/>
                <w:lang w:val="fr-FR"/>
              </w:rPr>
            </w:r>
          </w:p>
        </w:tc>
      </w:tr>
    </w:tbl>
    <w:p>
      <w:pPr>
        <w:pBdr/>
        <w:spacing/>
        <w:ind w:firstLine="0" w:left="0"/>
        <w:rPr>
          <w:highlight w:val="none"/>
          <w:lang w:val="fr-FR"/>
        </w:rPr>
      </w:pPr>
      <w:r>
        <w:rPr>
          <w:highlight w:val="none"/>
          <w:lang w:val="fr-FR"/>
        </w:rPr>
      </w:r>
      <w:r>
        <w:rPr>
          <w:highlight w:val="none"/>
          <w:lang w:val="fr-FR"/>
        </w:rPr>
      </w:r>
      <w:r>
        <w:rPr>
          <w:highlight w:val="none"/>
          <w:lang w:val="fr-FR"/>
        </w:rPr>
      </w:r>
    </w:p>
    <w:p>
      <w:pPr>
        <w:pStyle w:val="849"/>
        <w:pBdr/>
        <w:spacing/>
        <w:ind/>
        <w:rPr>
          <w:highlight w:val="none"/>
          <w:lang w:val="fr-FR"/>
        </w:rPr>
      </w:pPr>
      <w:r>
        <w:rPr>
          <w:highlight w:val="none"/>
          <w:lang w:val="fr-FR"/>
        </w:rPr>
        <w:t xml:space="preserve">5. </w:t>
      </w:r>
      <w:r>
        <w:rPr>
          <w:highlight w:val="none"/>
          <w:lang w:val="fr-FR"/>
        </w:rPr>
        <w:t xml:space="preserve">Des données précises</w:t>
      </w:r>
      <w:r>
        <w:rPr>
          <w:highlight w:val="none"/>
          <w:lang w:val="fr-FR"/>
        </w:rPr>
      </w:r>
      <w:r>
        <w:rPr>
          <w:highlight w:val="none"/>
          <w:lang w:val="fr-FR"/>
        </w:rPr>
      </w:r>
    </w:p>
    <w:p>
      <w:pPr>
        <w:pBdr/>
        <w:spacing/>
        <w:ind w:firstLine="0" w:left="0"/>
        <w:rPr>
          <w:highlight w:val="none"/>
          <w:lang w:val="fr-FR"/>
        </w:rPr>
      </w:pPr>
      <w:r>
        <w:rPr>
          <w:highlight w:val="none"/>
          <w:lang w:val="fr-FR"/>
        </w:rPr>
        <w:t xml:space="preserve">Mode d’emploi d’un viscosimètre à coupe : </w:t>
      </w:r>
      <w:r>
        <w:rPr>
          <w:highlight w:val="none"/>
          <w:lang w:val="fr-FR"/>
        </w:rPr>
      </w:r>
      <w:hyperlink r:id="rId15" w:tooltip="https://labomat.eu/fr/faq/594-comment-utiliser-une-coupe-de-viscosite-.html" w:history="1">
        <w:r>
          <w:rPr>
            <w:rStyle w:val="892"/>
            <w:highlight w:val="none"/>
            <w:lang w:val="fr-FR"/>
          </w:rPr>
          <w:t xml:space="preserve">https://labomat.eu/fr/faq/594-comment-utiliser-une-coupe-de-viscosite-.html</w:t>
        </w:r>
        <w:r>
          <w:rPr>
            <w:rStyle w:val="892"/>
            <w:highlight w:val="none"/>
            <w:lang w:val="fr-FR"/>
          </w:rPr>
        </w:r>
        <w:r>
          <w:rPr>
            <w:rStyle w:val="892"/>
            <w:highlight w:val="none"/>
            <w:lang w:val="fr-FR"/>
          </w:rPr>
        </w:r>
      </w:hyperlink>
      <w:r>
        <w:rPr>
          <w:highlight w:val="none"/>
          <w:lang w:val="fr-FR"/>
        </w:rPr>
      </w:r>
      <w:r>
        <w:rPr>
          <w:highlight w:val="none"/>
          <w:lang w:val="fr-FR"/>
        </w:rPr>
      </w:r>
    </w:p>
    <w:p>
      <w:pPr>
        <w:pBdr/>
        <w:shd w:val="nil"/>
        <w:spacing/>
        <w:ind/>
        <w:rPr>
          <w:highlight w:val="none"/>
          <w:lang w:val="fr-FR"/>
        </w:rPr>
      </w:pPr>
      <w:r>
        <w:rPr>
          <w:highlight w:val="none"/>
          <w:lang w:val="fr-FR"/>
        </w:rPr>
        <w:br w:type="page" w:clear="all"/>
      </w:r>
      <w:r>
        <w:rPr>
          <w:highlight w:val="none"/>
          <w:lang w:val="fr-FR"/>
        </w:rPr>
        <w:t xml:space="preserve">Site avec information sur la molécule d’alizarine : </w:t>
      </w:r>
      <w:r>
        <w:rPr>
          <w:highlight w:val="none"/>
          <w:lang w:val="fr-FR"/>
        </w:rPr>
      </w:r>
      <w:hyperlink r:id="rId16" w:tooltip="https://webbook.nist.gov/cgi/cbook.cgi?ID=72-48-0" w:history="1">
        <w:r>
          <w:rPr>
            <w:rStyle w:val="892"/>
            <w:highlight w:val="none"/>
            <w:lang w:val="fr-FR"/>
          </w:rPr>
          <w:t xml:space="preserve">https://webbook.nist.gov/cgi/cbook.cgi?ID=72-48-0</w:t>
        </w:r>
        <w:r>
          <w:rPr>
            <w:rStyle w:val="892"/>
            <w:highlight w:val="none"/>
            <w:lang w:val="fr-FR"/>
          </w:rPr>
        </w:r>
        <w:r>
          <w:rPr>
            <w:rStyle w:val="892"/>
            <w:highlight w:val="none"/>
            <w:lang w:val="fr-FR"/>
          </w:rPr>
        </w:r>
      </w:hyperlink>
      <w:r>
        <w:rPr>
          <w:highlight w:val="none"/>
          <w:lang w:val="fr-FR"/>
        </w:rPr>
      </w:r>
      <w:r>
        <w:rPr>
          <w:highlight w:val="none"/>
          <w:lang w:val="fr-FR"/>
        </w:rPr>
      </w:r>
    </w:p>
    <w:p>
      <w:pPr>
        <w:pBdr/>
        <w:spacing/>
        <w:ind w:firstLine="0" w:left="0"/>
        <w:rPr>
          <w:highlight w:val="none"/>
          <w:lang w:val="fr-FR"/>
        </w:rPr>
      </w:pPr>
      <w:r>
        <w:rPr>
          <w:highlight w:val="none"/>
          <w:lang w:val="fr-FR"/>
        </w:rPr>
      </w:r>
      <w:r>
        <w:rPr>
          <w:lang w:val="fr-FR"/>
        </w:rPr>
        <mc:AlternateContent>
          <mc:Choice Requires="wpg">
            <w:drawing>
              <wp:anchor xmlns:wp="http://schemas.openxmlformats.org/drawingml/2006/wordprocessingDrawing" xmlns:wp14="http://schemas.microsoft.com/office/word/2010/wordprocessingDrawing" distT="0" distB="0" distL="115200" distR="115200" simplePos="0" relativeHeight="4096" behindDoc="0" locked="0" layoutInCell="1" allowOverlap="1">
                <wp:simplePos x="0" y="0"/>
                <wp:positionH relativeFrom="column">
                  <wp:posOffset>534500</wp:posOffset>
                </wp:positionH>
                <wp:positionV relativeFrom="paragraph">
                  <wp:posOffset>398637</wp:posOffset>
                </wp:positionV>
                <wp:extent cx="4331040" cy="3248280"/>
                <wp:effectExtent l="0" t="0" r="0" b="0"/>
                <wp:wrapNone/>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81898" name=""/>
                        <pic:cNvPicPr>
                          <a:picLocks noChangeAspect="1"/>
                        </pic:cNvPicPr>
                        <pic:nvPr/>
                      </pic:nvPicPr>
                      <pic:blipFill>
                        <a:blip r:embed="rId17"/>
                        <a:stretch/>
                      </pic:blipFill>
                      <pic:spPr bwMode="auto">
                        <a:xfrm flipH="0" flipV="0">
                          <a:off x="0" y="0"/>
                          <a:ext cx="4331039" cy="324828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4096;o:allowoverlap:true;o:allowincell:true;mso-position-horizontal-relative:text;margin-left:42.09pt;mso-position-horizontal:absolute;mso-position-vertical-relative:text;margin-top:31.39pt;mso-position-vertical:absolute;width:341.03pt;height:255.77pt;mso-wrap-distance-left:9.07pt;mso-wrap-distance-top:0.00pt;mso-wrap-distance-right:9.07pt;mso-wrap-distance-bottom:0.00pt;z-index:1;" stroked="false">
                <v:imagedata r:id="rId17" o:title=""/>
                <o:lock v:ext="edit" rotation="t"/>
              </v:shape>
            </w:pict>
          </mc:Fallback>
        </mc:AlternateContent>
      </w:r>
      <w:r>
        <w:rPr>
          <w:highlight w:val="none"/>
          <w:lang w:val="fr-FR"/>
        </w:rPr>
        <w:t xml:space="preserve">Lien vers le spectre : </w:t>
      </w:r>
      <w:r>
        <w:rPr>
          <w:highlight w:val="none"/>
          <w:lang w:val="fr-FR"/>
        </w:rPr>
      </w:r>
      <w:hyperlink r:id="rId18" w:tooltip="https://webbook.nist.gov/cgi/cbook.cgi?ID=C72480&amp;Mask=400#UV-Vis-Spec" w:history="1">
        <w:r>
          <w:rPr>
            <w:rStyle w:val="892"/>
            <w:highlight w:val="none"/>
            <w:lang w:val="fr-FR"/>
          </w:rPr>
          <w:t xml:space="preserve">https://webbook.nist.gov/cgi/cbook.cgi?ID=C72480&amp;Mask=400#UV-Vis-Spec</w:t>
        </w:r>
        <w:r>
          <w:rPr>
            <w:rStyle w:val="892"/>
            <w:highlight w:val="none"/>
            <w:lang w:val="fr-FR"/>
          </w:rPr>
        </w:r>
        <w:r>
          <w:rPr>
            <w:rStyle w:val="892"/>
            <w:highlight w:val="none"/>
            <w:lang w:val="fr-FR"/>
          </w:rPr>
        </w:r>
      </w:hyperlink>
      <w:r>
        <w:rPr>
          <w:highlight w:val="none"/>
          <w:lang w:val="fr-FR"/>
        </w:rPr>
      </w:r>
      <w:r>
        <w:rPr>
          <w:highlight w:val="none"/>
          <w:lang w:val="fr-FR"/>
        </w:rPr>
      </w:r>
    </w:p>
    <w:p>
      <w:pPr>
        <w:pBdr/>
        <w:spacing/>
        <w:ind w:firstLine="0" w:left="0"/>
        <w:rPr>
          <w:highlight w:val="none"/>
          <w:lang w:val="fr-FR"/>
        </w:rPr>
      </w:pPr>
      <w:r>
        <w:rPr>
          <w:highlight w:val="none"/>
          <w:lang w:val="fr-FR"/>
        </w:rPr>
      </w:r>
      <w:r>
        <w:rPr>
          <w:highlight w:val="none"/>
          <w:lang w:val="fr-FR"/>
        </w:rPr>
      </w:r>
      <w:r>
        <w:rPr>
          <w:highlight w:val="none"/>
          <w:lang w:val="fr-FR"/>
        </w:rPr>
      </w:r>
    </w:p>
    <w:p>
      <w:pPr>
        <w:pBdr/>
        <w:spacing/>
        <w:ind w:firstLine="0" w:left="0"/>
        <w:jc w:val="both"/>
        <w:rPr>
          <w:highlight w:val="none"/>
          <w:lang w:val="fr-FR"/>
        </w:rPr>
      </w:pPr>
      <w:r>
        <w:rPr>
          <w:highlight w:val="none"/>
          <w:lang w:val="fr-FR"/>
        </w:rPr>
      </w:r>
      <w:r>
        <w:rPr>
          <w:highlight w:val="none"/>
          <w:lang w:val="fr-FR"/>
        </w:rPr>
      </w:r>
      <w:r>
        <w:rPr>
          <w:highlight w:val="none"/>
          <w:lang w:val="fr-FR"/>
        </w:rPr>
      </w:r>
    </w:p>
    <w:p>
      <w:pPr>
        <w:pBdr/>
        <w:spacing/>
        <w:ind w:firstLine="0" w:left="0"/>
        <w:jc w:val="both"/>
        <w:rPr>
          <w:highlight w:val="none"/>
          <w:lang w:val="fr-FR"/>
        </w:rPr>
      </w:pPr>
      <w:r>
        <w:rPr>
          <w:highlight w:val="none"/>
          <w:lang w:val="fr-FR"/>
        </w:rPr>
      </w:r>
      <w:r>
        <w:rPr>
          <w:highlight w:val="none"/>
          <w:lang w:val="fr-FR"/>
        </w:rPr>
      </w:r>
      <w:r>
        <w:rPr>
          <w:highlight w:val="none"/>
          <w:lang w:val="fr-FR"/>
        </w:rPr>
      </w:r>
    </w:p>
    <w:p>
      <w:pPr>
        <w:pBdr/>
        <w:spacing/>
        <w:ind w:firstLine="0" w:left="0"/>
        <w:jc w:val="both"/>
        <w:rPr>
          <w:highlight w:val="none"/>
          <w:lang w:val="fr-FR"/>
        </w:rPr>
      </w:pPr>
      <w:r>
        <w:rPr>
          <w:highlight w:val="none"/>
          <w:lang w:val="fr-FR"/>
        </w:rPr>
      </w:r>
      <w:r>
        <w:rPr>
          <w:highlight w:val="none"/>
          <w:lang w:val="fr-FR"/>
        </w:rPr>
      </w:r>
      <w:r>
        <w:rPr>
          <w:highlight w:val="none"/>
          <w:lang w:val="fr-FR"/>
        </w:rPr>
      </w:r>
    </w:p>
    <w:p>
      <w:pPr>
        <w:pBdr/>
        <w:spacing/>
        <w:ind w:firstLine="0" w:left="0"/>
        <w:jc w:val="both"/>
        <w:rPr>
          <w:highlight w:val="none"/>
          <w:lang w:val="fr-FR"/>
        </w:rPr>
      </w:pPr>
      <w:r>
        <w:rPr>
          <w:highlight w:val="none"/>
          <w:lang w:val="fr-FR"/>
        </w:rPr>
      </w:r>
      <w:r>
        <w:rPr>
          <w:highlight w:val="none"/>
          <w:lang w:val="fr-FR"/>
        </w:rPr>
      </w:r>
      <w:r>
        <w:rPr>
          <w:highlight w:val="none"/>
          <w:lang w:val="fr-FR"/>
        </w:rPr>
      </w:r>
    </w:p>
    <w:p>
      <w:pPr>
        <w:pBdr/>
        <w:spacing/>
        <w:ind w:firstLine="0" w:left="0"/>
        <w:jc w:val="both"/>
        <w:rPr>
          <w:highlight w:val="none"/>
          <w:lang w:val="fr-FR"/>
        </w:rPr>
      </w:pPr>
      <w:r>
        <w:rPr>
          <w:highlight w:val="none"/>
          <w:lang w:val="fr-FR"/>
        </w:rPr>
      </w:r>
      <w:r>
        <w:rPr>
          <w:highlight w:val="none"/>
          <w:lang w:val="fr-FR"/>
        </w:rPr>
      </w:r>
      <w:r>
        <w:rPr>
          <w:highlight w:val="none"/>
          <w:lang w:val="fr-FR"/>
        </w:rPr>
      </w:r>
    </w:p>
    <w:p>
      <w:pPr>
        <w:pBdr/>
        <w:spacing/>
        <w:ind w:firstLine="0" w:left="0"/>
        <w:jc w:val="both"/>
        <w:rPr>
          <w:highlight w:val="none"/>
          <w:lang w:val="fr-FR"/>
        </w:rPr>
      </w:pPr>
      <w:r>
        <w:rPr>
          <w:highlight w:val="none"/>
          <w:lang w:val="fr-FR"/>
        </w:rPr>
      </w:r>
      <w:r>
        <w:rPr>
          <w:highlight w:val="none"/>
          <w:lang w:val="fr-FR"/>
        </w:rPr>
      </w:r>
      <w:r>
        <w:rPr>
          <w:highlight w:val="none"/>
          <w:lang w:val="fr-FR"/>
        </w:rPr>
      </w:r>
    </w:p>
    <w:p>
      <w:pPr>
        <w:pBdr/>
        <w:spacing/>
        <w:ind w:firstLine="0" w:left="0"/>
        <w:jc w:val="both"/>
        <w:rPr>
          <w:highlight w:val="none"/>
          <w:lang w:val="fr-FR"/>
        </w:rPr>
      </w:pPr>
      <w:r>
        <w:rPr>
          <w:highlight w:val="none"/>
          <w:lang w:val="fr-FR"/>
        </w:rPr>
      </w:r>
      <w:r>
        <w:rPr>
          <w:highlight w:val="none"/>
          <w:lang w:val="fr-FR"/>
        </w:rPr>
      </w:r>
      <w:r>
        <w:rPr>
          <w:highlight w:val="none"/>
          <w:lang w:val="fr-FR"/>
        </w:rPr>
      </w:r>
    </w:p>
    <w:p>
      <w:pPr>
        <w:pBdr/>
        <w:spacing/>
        <w:ind w:firstLine="0" w:left="0"/>
        <w:jc w:val="both"/>
        <w:rPr>
          <w:highlight w:val="none"/>
          <w:lang w:val="fr-FR"/>
        </w:rPr>
      </w:pPr>
      <w:r>
        <w:rPr>
          <w:highlight w:val="none"/>
          <w:lang w:val="fr-FR"/>
        </w:rPr>
      </w:r>
      <w:r>
        <w:rPr>
          <w:highlight w:val="none"/>
          <w:lang w:val="fr-FR"/>
        </w:rPr>
      </w:r>
      <w:r>
        <w:rPr>
          <w:highlight w:val="none"/>
          <w:lang w:val="fr-FR"/>
        </w:rPr>
      </w:r>
    </w:p>
    <w:p>
      <w:pPr>
        <w:pBdr/>
        <w:spacing/>
        <w:ind w:firstLine="0" w:left="0"/>
        <w:jc w:val="both"/>
        <w:rPr>
          <w:highlight w:val="none"/>
          <w:lang w:val="fr-FR"/>
        </w:rPr>
      </w:pPr>
      <w:r>
        <w:rPr>
          <w:highlight w:val="none"/>
          <w:lang w:val="fr-FR"/>
        </w:rPr>
      </w:r>
      <w:r>
        <w:rPr>
          <w:highlight w:val="none"/>
          <w:lang w:val="fr-FR"/>
        </w:rPr>
      </w:r>
      <w:r>
        <w:rPr>
          <w:highlight w:val="none"/>
          <w:lang w:val="fr-FR"/>
        </w:rPr>
      </w:r>
    </w:p>
    <w:p>
      <w:pPr>
        <w:pBdr/>
        <w:spacing/>
        <w:ind w:firstLine="0" w:left="0"/>
        <w:jc w:val="both"/>
        <w:rPr>
          <w:highlight w:val="none"/>
          <w:lang w:val="fr-FR"/>
        </w:rPr>
      </w:pPr>
      <w:r>
        <w:rPr>
          <w:highlight w:val="none"/>
          <w:lang w:val="fr-FR"/>
        </w:rPr>
      </w:r>
      <w:r>
        <w:rPr>
          <w:highlight w:val="none"/>
          <w:lang w:val="fr-FR"/>
        </w:rPr>
      </w:r>
      <w:r>
        <w:rPr>
          <w:highlight w:val="none"/>
          <w:lang w:val="fr-FR"/>
        </w:rPr>
      </w:r>
    </w:p>
    <w:p>
      <w:pPr>
        <w:pBdr/>
        <w:spacing/>
        <w:ind w:firstLine="0" w:left="0"/>
        <w:jc w:val="both"/>
        <w:rPr>
          <w:highlight w:val="none"/>
          <w:lang w:val="fr-FR"/>
        </w:rPr>
      </w:pPr>
      <w:r>
        <w:rPr>
          <w:highlight w:val="none"/>
          <w:lang w:val="fr-FR"/>
        </w:rPr>
      </w:r>
      <w:r>
        <w:rPr>
          <w:highlight w:val="none"/>
          <w:lang w:val="fr-FR"/>
        </w:rPr>
        <w:t xml:space="preserve">Couleur : La solution absorbe dans le bleu-indigo à 435 nm donc elle est de couleur jaune.</w:t>
      </w:r>
      <w:r>
        <w:rPr>
          <w:highlight w:val="none"/>
          <w:lang w:val="fr-FR"/>
        </w:rPr>
      </w:r>
      <w:r>
        <w:rPr>
          <w:highlight w:val="none"/>
          <w:lang w:val="fr-FR"/>
        </w:rPr>
      </w:r>
    </w:p>
    <w:p>
      <w:pPr>
        <w:pBdr/>
        <w:spacing/>
        <w:ind w:firstLine="0" w:left="0"/>
        <w:jc w:val="both"/>
        <w:rPr>
          <w:highlight w:val="none"/>
          <w:lang w:val="fr-FR"/>
        </w:rPr>
      </w:pPr>
      <w:r>
        <w:rPr>
          <w:highlight w:val="none"/>
          <w:lang w:val="fr-FR"/>
        </w:rPr>
      </w:r>
      <w:r>
        <w:rPr>
          <w:highlight w:val="none"/>
          <w:lang w:val="fr-FR"/>
        </w:rPr>
      </w:r>
      <w:r>
        <w:rPr>
          <w:highlight w:val="none"/>
          <w:lang w:val="fr-FR"/>
        </w:rPr>
      </w:r>
    </w:p>
    <w:sectPr>
      <w:footerReference w:type="default" r:id="rId9"/>
      <w:footnotePr/>
      <w:endnotePr/>
      <w:type w:val="nextPage"/>
      <w:pgSz w:h="16838" w:orient="portrait" w:w="11906"/>
      <w:pgMar w:top="1134" w:right="850" w:bottom="1134" w:left="1276"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Open Sans">
    <w:panose1 w:val="020B06060305040202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83"/>
      <w:pBdr/>
      <w:spacing/>
      <w:ind/>
      <w:jc w:val="center"/>
      <w:rPr>
        <w:lang w:val="en-US"/>
      </w:rPr>
    </w:pPr>
    <w:fldSimple w:instr="PAGE \* MERGEFORMAT">
      <w:r>
        <w:t xml:space="preserve">1</w:t>
      </w:r>
    </w:fldSimple>
    <w:r/>
    <w:r>
      <w:rPr>
        <w:lang w:val="en-US"/>
      </w:rPr>
      <w:t xml:space="preserve">/</w:t>
    </w:r>
    <w:r/>
    <w:r>
      <w:rPr>
        <w:lang w:val="en-US"/>
      </w:rPr>
    </w:r>
    <w:fldSimple w:instr="NUMPAGES \* MERGEFORMAT">
      <w:r>
        <w:t xml:space="preserve">1</w:t>
      </w:r>
    </w:fldSimple>
    <w:r/>
    <w:r/>
    <w:r/>
    <w:r>
      <w:rPr>
        <w:lang w:val="en-US"/>
      </w:rPr>
    </w:r>
  </w:p>
  <w:p>
    <w:pPr>
      <w:pStyle w:val="883"/>
      <w:pBdr/>
      <w:spacing/>
      <w:ind/>
      <w:rPr/>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lvl w:ilvl="0">
      <w:isLgl w:val="false"/>
      <w:lvlJc w:val="left"/>
      <w:lvlText w:val="%1."/>
      <w:numFmt w:val="decimal"/>
      <w:pPr>
        <w:pBdr/>
        <w:spacing/>
        <w:ind w:hanging="360" w:left="1418"/>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731"/>
      </w:pPr>
      <w:rPr/>
      <w:start w:val="1"/>
      <w:suff w:val="tab"/>
    </w:lvl>
    <w:lvl w:ilvl="2">
      <w:isLgl w:val="false"/>
      <w:lvlJc w:val="right"/>
      <w:lvlText w:val="%3."/>
      <w:numFmt w:val="lowerRoman"/>
      <w:pPr>
        <w:pBdr/>
        <w:spacing/>
        <w:ind w:hanging="180" w:left="1451"/>
      </w:pPr>
      <w:rPr/>
      <w:start w:val="1"/>
      <w:suff w:val="tab"/>
    </w:lvl>
    <w:lvl w:ilvl="3">
      <w:isLgl w:val="false"/>
      <w:lvlJc w:val="left"/>
      <w:lvlText w:val="%4."/>
      <w:numFmt w:val="decimal"/>
      <w:pPr>
        <w:pBdr/>
        <w:spacing/>
        <w:ind w:hanging="360" w:left="2171"/>
      </w:pPr>
      <w:rPr/>
      <w:start w:val="1"/>
      <w:suff w:val="tab"/>
    </w:lvl>
    <w:lvl w:ilvl="4">
      <w:isLgl w:val="false"/>
      <w:lvlJc w:val="left"/>
      <w:lvlText w:val="%5."/>
      <w:numFmt w:val="lowerLetter"/>
      <w:pPr>
        <w:pBdr/>
        <w:spacing/>
        <w:ind w:hanging="360" w:left="2891"/>
      </w:pPr>
      <w:rPr/>
      <w:start w:val="1"/>
      <w:suff w:val="tab"/>
    </w:lvl>
    <w:lvl w:ilvl="5">
      <w:isLgl w:val="false"/>
      <w:lvlJc w:val="right"/>
      <w:lvlText w:val="%6."/>
      <w:numFmt w:val="lowerRoman"/>
      <w:pPr>
        <w:pBdr/>
        <w:spacing/>
        <w:ind w:hanging="180" w:left="3611"/>
      </w:pPr>
      <w:rPr/>
      <w:start w:val="1"/>
      <w:suff w:val="tab"/>
    </w:lvl>
    <w:lvl w:ilvl="6">
      <w:isLgl w:val="false"/>
      <w:lvlJc w:val="left"/>
      <w:lvlText w:val="%7."/>
      <w:numFmt w:val="decimal"/>
      <w:pPr>
        <w:pBdr/>
        <w:spacing/>
        <w:ind w:hanging="360" w:left="4331"/>
      </w:pPr>
      <w:rPr/>
      <w:start w:val="1"/>
      <w:suff w:val="tab"/>
    </w:lvl>
    <w:lvl w:ilvl="7">
      <w:isLgl w:val="false"/>
      <w:lvlJc w:val="left"/>
      <w:lvlText w:val="%8."/>
      <w:numFmt w:val="lowerLetter"/>
      <w:pPr>
        <w:pBdr/>
        <w:spacing/>
        <w:ind w:hanging="360" w:left="5051"/>
      </w:pPr>
      <w:rPr/>
      <w:start w:val="1"/>
      <w:suff w:val="tab"/>
    </w:lvl>
    <w:lvl w:ilvl="8">
      <w:isLgl w:val="false"/>
      <w:lvlJc w:val="right"/>
      <w:lvlText w:val="%9."/>
      <w:numFmt w:val="lowerRoman"/>
      <w:pPr>
        <w:pBdr/>
        <w:spacing/>
        <w:ind w:hanging="180" w:left="5771"/>
      </w:pPr>
      <w:rPr/>
      <w:start w:val="1"/>
      <w:suff w:val="tab"/>
    </w:lvl>
  </w:abstractNum>
  <w:abstractNum w:abstractNumId="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
    <w:lvl w:ilvl="0">
      <w:isLgl w:val="false"/>
      <w:lvlJc w:val="right"/>
      <w:lvlText w:val="%1."/>
      <w:numFmt w:val="decimal"/>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8">
    <w:lvl w:ilvl="0">
      <w:isLgl w:val="false"/>
      <w:lvlJc w:val="right"/>
      <w:lvlText w:val="%1."/>
      <w:numFmt w:val="decimal"/>
      <w:pPr>
        <w:pBdr/>
        <w:spacing/>
        <w:ind w:hanging="360" w:left="709"/>
      </w:pPr>
      <w:rPr/>
      <w:start w:val="1"/>
      <w:suff w:val="tab"/>
    </w:lvl>
    <w:lvl w:ilvl="1">
      <w:isLgl w:val="false"/>
      <w:lvlJc w:val="left"/>
      <w:lvlText w:val="%2."/>
      <w:numFmt w:val="lowerLetter"/>
      <w:pPr>
        <w:pBdr/>
        <w:spacing/>
        <w:ind w:hanging="360" w:left="731"/>
      </w:pPr>
      <w:rPr/>
      <w:start w:val="1"/>
      <w:suff w:val="tab"/>
    </w:lvl>
    <w:lvl w:ilvl="2">
      <w:isLgl w:val="false"/>
      <w:lvlJc w:val="right"/>
      <w:lvlText w:val="%3."/>
      <w:numFmt w:val="lowerRoman"/>
      <w:pPr>
        <w:pBdr/>
        <w:spacing/>
        <w:ind w:hanging="180" w:left="1451"/>
      </w:pPr>
      <w:rPr/>
      <w:start w:val="1"/>
      <w:suff w:val="tab"/>
    </w:lvl>
    <w:lvl w:ilvl="3">
      <w:isLgl w:val="false"/>
      <w:lvlJc w:val="left"/>
      <w:lvlText w:val="%4."/>
      <w:numFmt w:val="decimal"/>
      <w:pPr>
        <w:pBdr/>
        <w:spacing/>
        <w:ind w:hanging="360" w:left="2171"/>
      </w:pPr>
      <w:rPr/>
      <w:start w:val="1"/>
      <w:suff w:val="tab"/>
    </w:lvl>
    <w:lvl w:ilvl="4">
      <w:isLgl w:val="false"/>
      <w:lvlJc w:val="left"/>
      <w:lvlText w:val="%5."/>
      <w:numFmt w:val="lowerLetter"/>
      <w:pPr>
        <w:pBdr/>
        <w:spacing/>
        <w:ind w:hanging="360" w:left="2891"/>
      </w:pPr>
      <w:rPr/>
      <w:start w:val="1"/>
      <w:suff w:val="tab"/>
    </w:lvl>
    <w:lvl w:ilvl="5">
      <w:isLgl w:val="false"/>
      <w:lvlJc w:val="right"/>
      <w:lvlText w:val="%6."/>
      <w:numFmt w:val="lowerRoman"/>
      <w:pPr>
        <w:pBdr/>
        <w:spacing/>
        <w:ind w:hanging="180" w:left="3611"/>
      </w:pPr>
      <w:rPr/>
      <w:start w:val="1"/>
      <w:suff w:val="tab"/>
    </w:lvl>
    <w:lvl w:ilvl="6">
      <w:isLgl w:val="false"/>
      <w:lvlJc w:val="left"/>
      <w:lvlText w:val="%7."/>
      <w:numFmt w:val="decimal"/>
      <w:pPr>
        <w:pBdr/>
        <w:spacing/>
        <w:ind w:hanging="360" w:left="4331"/>
      </w:pPr>
      <w:rPr/>
      <w:start w:val="1"/>
      <w:suff w:val="tab"/>
    </w:lvl>
    <w:lvl w:ilvl="7">
      <w:isLgl w:val="false"/>
      <w:lvlJc w:val="left"/>
      <w:lvlText w:val="%8."/>
      <w:numFmt w:val="lowerLetter"/>
      <w:pPr>
        <w:pBdr/>
        <w:spacing/>
        <w:ind w:hanging="360" w:left="5051"/>
      </w:pPr>
      <w:rPr/>
      <w:start w:val="1"/>
      <w:suff w:val="tab"/>
    </w:lvl>
    <w:lvl w:ilvl="8">
      <w:isLgl w:val="false"/>
      <w:lvlJc w:val="right"/>
      <w:lvlText w:val="%9."/>
      <w:numFmt w:val="lowerRoman"/>
      <w:pPr>
        <w:pBdr/>
        <w:spacing/>
        <w:ind w:hanging="180" w:left="5771"/>
      </w:pPr>
      <w:rPr/>
      <w:start w:val="1"/>
      <w:suff w:val="tab"/>
    </w:lvl>
  </w:abstractNum>
  <w:abstractNum w:abstractNumId="9">
    <w:lvl w:ilvl="0">
      <w:isLgl w:val="false"/>
      <w:lvlJc w:val="right"/>
      <w:lvlText w:val="%1."/>
      <w:numFmt w:val="decimal"/>
      <w:pPr>
        <w:pBdr/>
        <w:spacing/>
        <w:ind w:hanging="360" w:left="1417"/>
      </w:pPr>
      <w:rPr/>
      <w:start w:val="1"/>
      <w:suff w:val="tab"/>
    </w:lvl>
    <w:lvl w:ilvl="1">
      <w:isLgl w:val="false"/>
      <w:lvlJc w:val="left"/>
      <w:lvlText w:val="%2."/>
      <w:numFmt w:val="lowerLetter"/>
      <w:pPr>
        <w:pBdr/>
        <w:spacing/>
        <w:ind w:hanging="360" w:left="1439"/>
      </w:pPr>
      <w:rPr/>
      <w:start w:val="1"/>
      <w:suff w:val="tab"/>
    </w:lvl>
    <w:lvl w:ilvl="2">
      <w:isLgl w:val="false"/>
      <w:lvlJc w:val="right"/>
      <w:lvlText w:val="%3."/>
      <w:numFmt w:val="lowerRoman"/>
      <w:pPr>
        <w:pBdr/>
        <w:spacing/>
        <w:ind w:hanging="180" w:left="2159"/>
      </w:pPr>
      <w:rPr/>
      <w:start w:val="1"/>
      <w:suff w:val="tab"/>
    </w:lvl>
    <w:lvl w:ilvl="3">
      <w:isLgl w:val="false"/>
      <w:lvlJc w:val="left"/>
      <w:lvlText w:val="%4."/>
      <w:numFmt w:val="decimal"/>
      <w:pPr>
        <w:pBdr/>
        <w:spacing/>
        <w:ind w:hanging="360" w:left="2879"/>
      </w:pPr>
      <w:rPr/>
      <w:start w:val="1"/>
      <w:suff w:val="tab"/>
    </w:lvl>
    <w:lvl w:ilvl="4">
      <w:isLgl w:val="false"/>
      <w:lvlJc w:val="left"/>
      <w:lvlText w:val="%5."/>
      <w:numFmt w:val="lowerLetter"/>
      <w:pPr>
        <w:pBdr/>
        <w:spacing/>
        <w:ind w:hanging="360" w:left="3599"/>
      </w:pPr>
      <w:rPr/>
      <w:start w:val="1"/>
      <w:suff w:val="tab"/>
    </w:lvl>
    <w:lvl w:ilvl="5">
      <w:isLgl w:val="false"/>
      <w:lvlJc w:val="right"/>
      <w:lvlText w:val="%6."/>
      <w:numFmt w:val="lowerRoman"/>
      <w:pPr>
        <w:pBdr/>
        <w:spacing/>
        <w:ind w:hanging="180" w:left="4319"/>
      </w:pPr>
      <w:rPr/>
      <w:start w:val="1"/>
      <w:suff w:val="tab"/>
    </w:lvl>
    <w:lvl w:ilvl="6">
      <w:isLgl w:val="false"/>
      <w:lvlJc w:val="left"/>
      <w:lvlText w:val="%7."/>
      <w:numFmt w:val="decimal"/>
      <w:pPr>
        <w:pBdr/>
        <w:spacing/>
        <w:ind w:hanging="360" w:left="5039"/>
      </w:pPr>
      <w:rPr/>
      <w:start w:val="1"/>
      <w:suff w:val="tab"/>
    </w:lvl>
    <w:lvl w:ilvl="7">
      <w:isLgl w:val="false"/>
      <w:lvlJc w:val="left"/>
      <w:lvlText w:val="%8."/>
      <w:numFmt w:val="lowerLetter"/>
      <w:pPr>
        <w:pBdr/>
        <w:spacing/>
        <w:ind w:hanging="360" w:left="5759"/>
      </w:pPr>
      <w:rPr/>
      <w:start w:val="1"/>
      <w:suff w:val="tab"/>
    </w:lvl>
    <w:lvl w:ilvl="8">
      <w:isLgl w:val="false"/>
      <w:lvlJc w:val="right"/>
      <w:lvlText w:val="%9."/>
      <w:numFmt w:val="lowerRoman"/>
      <w:pPr>
        <w:pBdr/>
        <w:spacing/>
        <w:ind w:hanging="180" w:left="6479"/>
      </w:pPr>
      <w:rPr/>
      <w:start w:val="1"/>
      <w:suff w:val="tab"/>
    </w:lvl>
  </w:abstractNum>
  <w:abstractNum w:abstractNumId="10">
    <w:lvl w:ilvl="0">
      <w:isLgl w:val="false"/>
      <w:lvlJc w:val="left"/>
      <w:lvlText w:val="·"/>
      <w:numFmt w:val="bullet"/>
      <w:pPr>
        <w:pBdr/>
        <w:spacing/>
        <w:ind w:hanging="360" w:left="709"/>
      </w:pPr>
      <w:rPr>
        <w:rFonts w:hint="default" w:ascii="Symbol" w:hAnsi="Symbol" w:eastAsia="Symbol" w:cs="Symbol"/>
        <w:color w:val="000000"/>
        <w:sz w:val="21"/>
      </w:rPr>
      <w:start w:val="1"/>
      <w:suff w:val="tab"/>
    </w:lvl>
    <w:lvl w:ilvl="1">
      <w:isLgl w:val="false"/>
      <w:lvlJc w:val="left"/>
      <w:lvlText w:val="·"/>
      <w:numFmt w:val="bullet"/>
      <w:pPr>
        <w:pBdr/>
        <w:spacing/>
        <w:ind w:hanging="360" w:left="1429"/>
      </w:pPr>
      <w:rPr>
        <w:rFonts w:hint="default" w:ascii="Symbol" w:hAnsi="Symbol" w:eastAsia="Symbol" w:cs="Symbol"/>
        <w:color w:val="000000"/>
        <w:sz w:val="21"/>
      </w:rPr>
      <w:start w:val="1"/>
      <w:suff w:val="tab"/>
    </w:lvl>
    <w:lvl w:ilvl="2">
      <w:isLgl w:val="false"/>
      <w:lvlJc w:val="left"/>
      <w:lvlText w:val="·"/>
      <w:numFmt w:val="bullet"/>
      <w:pPr>
        <w:pBdr/>
        <w:spacing/>
        <w:ind w:hanging="360" w:left="2149"/>
      </w:pPr>
      <w:rPr>
        <w:rFonts w:hint="default" w:ascii="Symbol" w:hAnsi="Symbol" w:eastAsia="Symbol" w:cs="Symbol"/>
        <w:color w:val="000000"/>
        <w:sz w:val="21"/>
      </w:rPr>
      <w:start w:val="1"/>
      <w:suff w:val="tab"/>
    </w:lvl>
    <w:lvl w:ilvl="3">
      <w:isLgl w:val="false"/>
      <w:lvlJc w:val="left"/>
      <w:lvlText w:val="·"/>
      <w:numFmt w:val="bullet"/>
      <w:pPr>
        <w:pBdr/>
        <w:spacing/>
        <w:ind w:hanging="360" w:left="2869"/>
      </w:pPr>
      <w:rPr>
        <w:rFonts w:hint="default" w:ascii="Symbol" w:hAnsi="Symbol" w:eastAsia="Symbol" w:cs="Symbol"/>
        <w:color w:val="000000"/>
        <w:sz w:val="21"/>
      </w:rPr>
      <w:start w:val="1"/>
      <w:suff w:val="tab"/>
    </w:lvl>
    <w:lvl w:ilvl="4">
      <w:isLgl w:val="false"/>
      <w:lvlJc w:val="left"/>
      <w:lvlText w:val="·"/>
      <w:numFmt w:val="bullet"/>
      <w:pPr>
        <w:pBdr/>
        <w:spacing/>
        <w:ind w:hanging="360" w:left="3589"/>
      </w:pPr>
      <w:rPr>
        <w:rFonts w:hint="default" w:ascii="Symbol" w:hAnsi="Symbol" w:eastAsia="Symbol" w:cs="Symbol"/>
        <w:color w:val="000000"/>
        <w:sz w:val="21"/>
      </w:rPr>
      <w:start w:val="1"/>
      <w:suff w:val="tab"/>
    </w:lvl>
    <w:lvl w:ilvl="5">
      <w:isLgl w:val="false"/>
      <w:lvlJc w:val="left"/>
      <w:lvlText w:val="·"/>
      <w:numFmt w:val="bullet"/>
      <w:pPr>
        <w:pBdr/>
        <w:spacing/>
        <w:ind w:hanging="360" w:left="4309"/>
      </w:pPr>
      <w:rPr>
        <w:rFonts w:hint="default" w:ascii="Symbol" w:hAnsi="Symbol" w:eastAsia="Symbol" w:cs="Symbol"/>
        <w:color w:val="000000"/>
        <w:sz w:val="21"/>
      </w:rPr>
      <w:start w:val="1"/>
      <w:suff w:val="tab"/>
    </w:lvl>
    <w:lvl w:ilvl="6">
      <w:isLgl w:val="false"/>
      <w:lvlJc w:val="left"/>
      <w:lvlText w:val="·"/>
      <w:numFmt w:val="bullet"/>
      <w:pPr>
        <w:pBdr/>
        <w:spacing/>
        <w:ind w:hanging="360" w:left="5029"/>
      </w:pPr>
      <w:rPr>
        <w:rFonts w:hint="default" w:ascii="Symbol" w:hAnsi="Symbol" w:eastAsia="Symbol" w:cs="Symbol"/>
        <w:color w:val="000000"/>
        <w:sz w:val="21"/>
      </w:rPr>
      <w:start w:val="1"/>
      <w:suff w:val="tab"/>
    </w:lvl>
    <w:lvl w:ilvl="7">
      <w:isLgl w:val="false"/>
      <w:lvlJc w:val="left"/>
      <w:lvlText w:val="·"/>
      <w:numFmt w:val="bullet"/>
      <w:pPr>
        <w:pBdr/>
        <w:spacing/>
        <w:ind w:hanging="360" w:left="5749"/>
      </w:pPr>
      <w:rPr>
        <w:rFonts w:hint="default" w:ascii="Symbol" w:hAnsi="Symbol" w:eastAsia="Symbol" w:cs="Symbol"/>
        <w:color w:val="000000"/>
        <w:sz w:val="21"/>
      </w:rPr>
      <w:start w:val="1"/>
      <w:suff w:val="tab"/>
    </w:lvl>
    <w:lvl w:ilvl="8">
      <w:isLgl w:val="false"/>
      <w:lvlJc w:val="left"/>
      <w:lvlText w:val="·"/>
      <w:numFmt w:val="bullet"/>
      <w:pPr>
        <w:pBdr/>
        <w:spacing/>
        <w:ind w:hanging="360" w:left="6469"/>
      </w:pPr>
      <w:rPr>
        <w:rFonts w:hint="default" w:ascii="Symbol" w:hAnsi="Symbol" w:eastAsia="Symbol" w:cs="Symbol"/>
        <w:color w:val="000000"/>
        <w:sz w:val="21"/>
      </w:rPr>
      <w:start w:val="1"/>
      <w:suff w:val="tab"/>
    </w:lvl>
  </w:abstractNum>
  <w:abstractNum w:abstractNumId="11">
    <w:lvl w:ilvl="0">
      <w:isLgl w:val="false"/>
      <w:lvlJc w:val="left"/>
      <w:lvlText w:val="·"/>
      <w:numFmt w:val="bullet"/>
      <w:pPr>
        <w:pBdr/>
        <w:spacing/>
        <w:ind w:hanging="360" w:left="710"/>
      </w:pPr>
      <w:rPr>
        <w:rFonts w:hint="default" w:ascii="Symbol" w:hAnsi="Symbol" w:eastAsia="Symbol" w:cs="Symbol"/>
        <w:color w:val="000000"/>
        <w:sz w:val="21"/>
      </w:rPr>
      <w:start w:val="1"/>
      <w:suff w:val="tab"/>
    </w:lvl>
    <w:lvl w:ilvl="1">
      <w:isLgl w:val="false"/>
      <w:lvlJc w:val="left"/>
      <w:lvlText w:val="·"/>
      <w:numFmt w:val="bullet"/>
      <w:pPr>
        <w:pBdr/>
        <w:spacing/>
        <w:ind w:hanging="360" w:left="1430"/>
      </w:pPr>
      <w:rPr>
        <w:rFonts w:hint="default" w:ascii="Symbol" w:hAnsi="Symbol" w:eastAsia="Symbol" w:cs="Symbol"/>
        <w:color w:val="000000"/>
        <w:sz w:val="21"/>
      </w:rPr>
      <w:start w:val="1"/>
      <w:suff w:val="tab"/>
    </w:lvl>
    <w:lvl w:ilvl="2">
      <w:isLgl w:val="false"/>
      <w:lvlJc w:val="left"/>
      <w:lvlText w:val="·"/>
      <w:numFmt w:val="bullet"/>
      <w:pPr>
        <w:pBdr/>
        <w:spacing/>
        <w:ind w:hanging="360" w:left="2150"/>
      </w:pPr>
      <w:rPr>
        <w:rFonts w:hint="default" w:ascii="Symbol" w:hAnsi="Symbol" w:eastAsia="Symbol" w:cs="Symbol"/>
        <w:color w:val="000000"/>
        <w:sz w:val="21"/>
      </w:rPr>
      <w:start w:val="1"/>
      <w:suff w:val="tab"/>
    </w:lvl>
    <w:lvl w:ilvl="3">
      <w:isLgl w:val="false"/>
      <w:lvlJc w:val="left"/>
      <w:lvlText w:val="·"/>
      <w:numFmt w:val="bullet"/>
      <w:pPr>
        <w:pBdr/>
        <w:spacing/>
        <w:ind w:hanging="360" w:left="2870"/>
      </w:pPr>
      <w:rPr>
        <w:rFonts w:hint="default" w:ascii="Symbol" w:hAnsi="Symbol" w:eastAsia="Symbol" w:cs="Symbol"/>
        <w:color w:val="000000"/>
        <w:sz w:val="21"/>
      </w:rPr>
      <w:start w:val="1"/>
      <w:suff w:val="tab"/>
    </w:lvl>
    <w:lvl w:ilvl="4">
      <w:isLgl w:val="false"/>
      <w:lvlJc w:val="left"/>
      <w:lvlText w:val="·"/>
      <w:numFmt w:val="bullet"/>
      <w:pPr>
        <w:pBdr/>
        <w:spacing/>
        <w:ind w:hanging="360" w:left="3590"/>
      </w:pPr>
      <w:rPr>
        <w:rFonts w:hint="default" w:ascii="Symbol" w:hAnsi="Symbol" w:eastAsia="Symbol" w:cs="Symbol"/>
        <w:color w:val="000000"/>
        <w:sz w:val="21"/>
      </w:rPr>
      <w:start w:val="1"/>
      <w:suff w:val="tab"/>
    </w:lvl>
    <w:lvl w:ilvl="5">
      <w:isLgl w:val="false"/>
      <w:lvlJc w:val="left"/>
      <w:lvlText w:val="·"/>
      <w:numFmt w:val="bullet"/>
      <w:pPr>
        <w:pBdr/>
        <w:spacing/>
        <w:ind w:hanging="360" w:left="4310"/>
      </w:pPr>
      <w:rPr>
        <w:rFonts w:hint="default" w:ascii="Symbol" w:hAnsi="Symbol" w:eastAsia="Symbol" w:cs="Symbol"/>
        <w:color w:val="000000"/>
        <w:sz w:val="21"/>
      </w:rPr>
      <w:start w:val="1"/>
      <w:suff w:val="tab"/>
    </w:lvl>
    <w:lvl w:ilvl="6">
      <w:isLgl w:val="false"/>
      <w:lvlJc w:val="left"/>
      <w:lvlText w:val="·"/>
      <w:numFmt w:val="bullet"/>
      <w:pPr>
        <w:pBdr/>
        <w:spacing/>
        <w:ind w:hanging="360" w:left="5030"/>
      </w:pPr>
      <w:rPr>
        <w:rFonts w:hint="default" w:ascii="Symbol" w:hAnsi="Symbol" w:eastAsia="Symbol" w:cs="Symbol"/>
        <w:color w:val="000000"/>
        <w:sz w:val="21"/>
      </w:rPr>
      <w:start w:val="1"/>
      <w:suff w:val="tab"/>
    </w:lvl>
    <w:lvl w:ilvl="7">
      <w:isLgl w:val="false"/>
      <w:lvlJc w:val="left"/>
      <w:lvlText w:val="·"/>
      <w:numFmt w:val="bullet"/>
      <w:pPr>
        <w:pBdr/>
        <w:spacing/>
        <w:ind w:hanging="360" w:left="5750"/>
      </w:pPr>
      <w:rPr>
        <w:rFonts w:hint="default" w:ascii="Symbol" w:hAnsi="Symbol" w:eastAsia="Symbol" w:cs="Symbol"/>
        <w:color w:val="000000"/>
        <w:sz w:val="21"/>
      </w:rPr>
      <w:start w:val="1"/>
      <w:suff w:val="tab"/>
    </w:lvl>
    <w:lvl w:ilvl="8">
      <w:isLgl w:val="false"/>
      <w:lvlJc w:val="left"/>
      <w:lvlText w:val="·"/>
      <w:numFmt w:val="bullet"/>
      <w:pPr>
        <w:pBdr/>
        <w:spacing/>
        <w:ind w:hanging="360" w:left="6470"/>
      </w:pPr>
      <w:rPr>
        <w:rFonts w:hint="default" w:ascii="Symbol" w:hAnsi="Symbol" w:eastAsia="Symbol" w:cs="Symbol"/>
        <w:color w:val="000000"/>
        <w:sz w:val="21"/>
      </w:rPr>
      <w:start w:val="1"/>
      <w:suff w:val="tab"/>
    </w:lvl>
  </w:abstractNum>
  <w:abstractNum w:abstractNumId="1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1">
    <w:name w:val="Table Grid"/>
    <w:basedOn w:val="906"/>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Table Grid Light"/>
    <w:basedOn w:val="90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1"/>
    <w:basedOn w:val="90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2"/>
    <w:basedOn w:val="906"/>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3"/>
    <w:basedOn w:val="9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4"/>
    <w:basedOn w:val="9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5"/>
    <w:basedOn w:val="9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w:basedOn w:val="90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1"/>
    <w:basedOn w:val="9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2"/>
    <w:basedOn w:val="9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3"/>
    <w:basedOn w:val="9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4"/>
    <w:basedOn w:val="9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5"/>
    <w:basedOn w:val="9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6"/>
    <w:basedOn w:val="9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w:basedOn w:val="9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1"/>
    <w:basedOn w:val="9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2"/>
    <w:basedOn w:val="9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3"/>
    <w:basedOn w:val="9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4"/>
    <w:basedOn w:val="9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5"/>
    <w:basedOn w:val="9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6"/>
    <w:basedOn w:val="9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w:basedOn w:val="9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1"/>
    <w:basedOn w:val="9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2"/>
    <w:basedOn w:val="9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3"/>
    <w:basedOn w:val="9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4"/>
    <w:basedOn w:val="9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5"/>
    <w:basedOn w:val="9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6"/>
    <w:basedOn w:val="9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w:basedOn w:val="90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1"/>
    <w:basedOn w:val="90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2"/>
    <w:basedOn w:val="90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3"/>
    <w:basedOn w:val="90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4"/>
    <w:basedOn w:val="90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5"/>
    <w:basedOn w:val="90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6"/>
    <w:basedOn w:val="90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Accent 1"/>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2"/>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 Accent 3"/>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4"/>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5"/>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6"/>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6 Colorful"/>
    <w:basedOn w:val="90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4">
    <w:name w:val="Grid Table 6 Colorful - Accent 1"/>
    <w:basedOn w:val="90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5">
    <w:name w:val="Grid Table 6 Colorful - Accent 2"/>
    <w:basedOn w:val="9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6">
    <w:name w:val="Grid Table 6 Colorful - Accent 3"/>
    <w:basedOn w:val="90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7">
    <w:name w:val="Grid Table 6 Colorful - Accent 4"/>
    <w:basedOn w:val="9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8">
    <w:name w:val="Grid Table 6 Colorful - Accent 5"/>
    <w:basedOn w:val="90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9">
    <w:name w:val="Grid Table 6 Colorful - Accent 6"/>
    <w:basedOn w:val="90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0">
    <w:name w:val="Grid Table 7 Colorful"/>
    <w:basedOn w:val="90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1"/>
    <w:basedOn w:val="90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2"/>
    <w:basedOn w:val="90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3"/>
    <w:basedOn w:val="90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4"/>
    <w:basedOn w:val="90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5"/>
    <w:basedOn w:val="90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6"/>
    <w:basedOn w:val="90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1"/>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2"/>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3"/>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4"/>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5"/>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6"/>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w:basedOn w:val="90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1"/>
    <w:basedOn w:val="90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2"/>
    <w:basedOn w:val="90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3"/>
    <w:basedOn w:val="90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4"/>
    <w:basedOn w:val="90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5"/>
    <w:basedOn w:val="90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6"/>
    <w:basedOn w:val="90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w:basedOn w:val="9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1"/>
    <w:basedOn w:val="90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2"/>
    <w:basedOn w:val="9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3"/>
    <w:basedOn w:val="90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4"/>
    <w:basedOn w:val="9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5"/>
    <w:basedOn w:val="90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6"/>
    <w:basedOn w:val="90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w:basedOn w:val="9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1"/>
    <w:basedOn w:val="90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2"/>
    <w:basedOn w:val="90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3"/>
    <w:basedOn w:val="90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4"/>
    <w:basedOn w:val="90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5"/>
    <w:basedOn w:val="90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6"/>
    <w:basedOn w:val="90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5 Dark"/>
    <w:basedOn w:val="90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1"/>
    <w:basedOn w:val="90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2"/>
    <w:basedOn w:val="90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3"/>
    <w:basedOn w:val="90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4"/>
    <w:basedOn w:val="90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5"/>
    <w:basedOn w:val="90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6"/>
    <w:basedOn w:val="90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6 Colorful"/>
    <w:basedOn w:val="90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1"/>
    <w:basedOn w:val="90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2"/>
    <w:basedOn w:val="90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3"/>
    <w:basedOn w:val="90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4"/>
    <w:basedOn w:val="90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5"/>
    <w:basedOn w:val="90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6"/>
    <w:basedOn w:val="90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7 Colorful"/>
    <w:basedOn w:val="90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0">
    <w:name w:val="List Table 7 Colorful - Accent 1"/>
    <w:basedOn w:val="90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21">
    <w:name w:val="List Table 7 Colorful - Accent 2"/>
    <w:basedOn w:val="90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22">
    <w:name w:val="List Table 7 Colorful - Accent 3"/>
    <w:basedOn w:val="90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23">
    <w:name w:val="List Table 7 Colorful - Accent 4"/>
    <w:basedOn w:val="90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4">
    <w:name w:val="List Table 7 Colorful - Accent 5"/>
    <w:basedOn w:val="90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25">
    <w:name w:val="List Table 7 Colorful - Accent 6"/>
    <w:basedOn w:val="90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6">
    <w:name w:val="Lined - Accent"/>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1"/>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2"/>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3"/>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4"/>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5"/>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6"/>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w:basedOn w:val="90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1"/>
    <w:basedOn w:val="90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2"/>
    <w:basedOn w:val="90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3"/>
    <w:basedOn w:val="90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4"/>
    <w:basedOn w:val="90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5"/>
    <w:basedOn w:val="90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6"/>
    <w:basedOn w:val="90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w:basedOn w:val="90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1"/>
    <w:basedOn w:val="9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2"/>
    <w:basedOn w:val="9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3"/>
    <w:basedOn w:val="9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4"/>
    <w:basedOn w:val="9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5"/>
    <w:basedOn w:val="9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6"/>
    <w:basedOn w:val="9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7">
    <w:name w:val="Heading 1"/>
    <w:basedOn w:val="905"/>
    <w:next w:val="905"/>
    <w:link w:val="857"/>
    <w:uiPriority w:val="9"/>
    <w:qFormat/>
    <w:pPr>
      <w:keepNext w:val="true"/>
      <w:keepLines w:val="true"/>
      <w:pBdr/>
      <w:spacing w:after="80" w:before="360"/>
      <w:ind/>
      <w:jc w:val="center"/>
      <w:outlineLvl w:val="0"/>
    </w:pPr>
    <w:rPr>
      <w:rFonts w:ascii="Arial" w:hAnsi="Arial" w:eastAsia="Arial" w:cs="Arial"/>
      <w:b/>
      <w:bCs/>
      <w:color w:val="0f4761" w:themeColor="text1"/>
      <w:sz w:val="32"/>
      <w:szCs w:val="32"/>
      <w:lang w:val="fr-FR"/>
    </w:rPr>
  </w:style>
  <w:style w:type="paragraph" w:styleId="848">
    <w:name w:val="Heading 2"/>
    <w:basedOn w:val="905"/>
    <w:next w:val="905"/>
    <w:link w:val="85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9">
    <w:name w:val="Heading 3"/>
    <w:basedOn w:val="905"/>
    <w:next w:val="905"/>
    <w:link w:val="859"/>
    <w:uiPriority w:val="9"/>
    <w:unhideWhenUsed/>
    <w:qFormat/>
    <w:pPr>
      <w:keepNext w:val="true"/>
      <w:keepLines w:val="true"/>
      <w:pBdr/>
      <w:spacing w:after="80" w:before="160"/>
      <w:ind/>
      <w:outlineLvl w:val="2"/>
    </w:pPr>
    <w:rPr>
      <w:rFonts w:ascii="Arial" w:hAnsi="Arial" w:eastAsia="Arial" w:cs="Arial"/>
      <w:color w:val="0f4761" w:themeColor="text1"/>
      <w:sz w:val="28"/>
      <w:szCs w:val="28"/>
      <w:lang w:val="fr-FR"/>
    </w:rPr>
  </w:style>
  <w:style w:type="paragraph" w:styleId="850">
    <w:name w:val="Heading 4"/>
    <w:basedOn w:val="905"/>
    <w:next w:val="905"/>
    <w:link w:val="86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1">
    <w:name w:val="Heading 5"/>
    <w:basedOn w:val="905"/>
    <w:next w:val="905"/>
    <w:link w:val="861"/>
    <w:uiPriority w:val="9"/>
    <w:unhideWhenUsed/>
    <w:qFormat/>
    <w:pPr>
      <w:keepNext w:val="true"/>
      <w:keepLines w:val="true"/>
      <w:pBdr/>
      <w:spacing w:after="40" w:before="80"/>
      <w:ind/>
      <w:outlineLvl w:val="4"/>
    </w:pPr>
    <w:rPr>
      <w:rFonts w:ascii="Arial" w:hAnsi="Arial" w:eastAsia="Arial" w:cs="Arial"/>
      <w:color w:val="0f4761" w:themeColor="text1"/>
      <w:sz w:val="24"/>
      <w:szCs w:val="24"/>
      <w:lang w:val="en-US"/>
    </w:rPr>
  </w:style>
  <w:style w:type="paragraph" w:styleId="852">
    <w:name w:val="Heading 6"/>
    <w:basedOn w:val="905"/>
    <w:next w:val="905"/>
    <w:link w:val="86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3">
    <w:name w:val="Heading 7"/>
    <w:basedOn w:val="905"/>
    <w:next w:val="905"/>
    <w:link w:val="86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4">
    <w:name w:val="Heading 8"/>
    <w:basedOn w:val="905"/>
    <w:next w:val="905"/>
    <w:link w:val="86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5">
    <w:name w:val="Heading 9"/>
    <w:basedOn w:val="905"/>
    <w:next w:val="905"/>
    <w:link w:val="86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6" w:default="1">
    <w:name w:val="Default Paragraph Font"/>
    <w:uiPriority w:val="1"/>
    <w:semiHidden/>
    <w:unhideWhenUsed/>
    <w:pPr>
      <w:pBdr/>
      <w:spacing/>
      <w:ind/>
    </w:pPr>
  </w:style>
  <w:style w:type="character" w:styleId="857">
    <w:name w:val="Heading 1 Char"/>
    <w:link w:val="847"/>
    <w:uiPriority w:val="9"/>
    <w:pPr>
      <w:pBdr/>
      <w:spacing/>
      <w:ind/>
    </w:pPr>
    <w:rPr>
      <w:sz w:val="32"/>
      <w:szCs w:val="32"/>
      <w:lang w:val="fr-FR"/>
    </w:rPr>
  </w:style>
  <w:style w:type="character" w:styleId="858">
    <w:name w:val="Heading 2 Char"/>
    <w:basedOn w:val="856"/>
    <w:link w:val="848"/>
    <w:uiPriority w:val="9"/>
    <w:pPr>
      <w:pBdr/>
      <w:spacing/>
      <w:ind/>
    </w:pPr>
    <w:rPr>
      <w:rFonts w:ascii="Arial" w:hAnsi="Arial" w:eastAsia="Arial" w:cs="Arial"/>
      <w:color w:val="0f4761" w:themeColor="accent1" w:themeShade="BF"/>
      <w:sz w:val="32"/>
      <w:szCs w:val="32"/>
    </w:rPr>
  </w:style>
  <w:style w:type="character" w:styleId="859">
    <w:name w:val="Heading 3 Char"/>
    <w:link w:val="849"/>
    <w:uiPriority w:val="9"/>
    <w:pPr>
      <w:pBdr/>
      <w:spacing/>
      <w:ind/>
    </w:pPr>
    <w:rPr>
      <w:color w:val="000000" w:themeColor="text1"/>
      <w:lang w:val="fr-FR"/>
    </w:rPr>
  </w:style>
  <w:style w:type="character" w:styleId="860">
    <w:name w:val="Heading 4 Char"/>
    <w:basedOn w:val="856"/>
    <w:link w:val="850"/>
    <w:uiPriority w:val="9"/>
    <w:pPr>
      <w:pBdr/>
      <w:spacing/>
      <w:ind/>
    </w:pPr>
    <w:rPr>
      <w:rFonts w:ascii="Arial" w:hAnsi="Arial" w:eastAsia="Arial" w:cs="Arial"/>
      <w:i/>
      <w:iCs/>
      <w:color w:val="0f4761" w:themeColor="accent1" w:themeShade="BF"/>
    </w:rPr>
  </w:style>
  <w:style w:type="character" w:styleId="861">
    <w:name w:val="Heading 5 Char"/>
    <w:link w:val="851"/>
    <w:uiPriority w:val="9"/>
    <w:pPr>
      <w:pBdr/>
      <w:spacing/>
      <w:ind/>
    </w:pPr>
    <w:rPr>
      <w:sz w:val="24"/>
      <w:szCs w:val="24"/>
      <w:lang w:val="en-US"/>
    </w:rPr>
  </w:style>
  <w:style w:type="character" w:styleId="862">
    <w:name w:val="Heading 6 Char"/>
    <w:basedOn w:val="856"/>
    <w:link w:val="852"/>
    <w:uiPriority w:val="9"/>
    <w:pPr>
      <w:pBdr/>
      <w:spacing/>
      <w:ind/>
    </w:pPr>
    <w:rPr>
      <w:rFonts w:ascii="Arial" w:hAnsi="Arial" w:eastAsia="Arial" w:cs="Arial"/>
      <w:i/>
      <w:iCs/>
      <w:color w:val="595959" w:themeColor="text1" w:themeTint="A6"/>
    </w:rPr>
  </w:style>
  <w:style w:type="character" w:styleId="863">
    <w:name w:val="Heading 7 Char"/>
    <w:basedOn w:val="856"/>
    <w:link w:val="853"/>
    <w:uiPriority w:val="9"/>
    <w:pPr>
      <w:pBdr/>
      <w:spacing/>
      <w:ind/>
    </w:pPr>
    <w:rPr>
      <w:rFonts w:ascii="Arial" w:hAnsi="Arial" w:eastAsia="Arial" w:cs="Arial"/>
      <w:color w:val="595959" w:themeColor="text1" w:themeTint="A6"/>
    </w:rPr>
  </w:style>
  <w:style w:type="character" w:styleId="864">
    <w:name w:val="Heading 8 Char"/>
    <w:basedOn w:val="856"/>
    <w:link w:val="854"/>
    <w:uiPriority w:val="9"/>
    <w:pPr>
      <w:pBdr/>
      <w:spacing/>
      <w:ind/>
    </w:pPr>
    <w:rPr>
      <w:rFonts w:ascii="Arial" w:hAnsi="Arial" w:eastAsia="Arial" w:cs="Arial"/>
      <w:i/>
      <w:iCs/>
      <w:color w:val="272727" w:themeColor="text1" w:themeTint="D8"/>
    </w:rPr>
  </w:style>
  <w:style w:type="character" w:styleId="865">
    <w:name w:val="Heading 9 Char"/>
    <w:basedOn w:val="856"/>
    <w:link w:val="855"/>
    <w:uiPriority w:val="9"/>
    <w:pPr>
      <w:pBdr/>
      <w:spacing/>
      <w:ind/>
    </w:pPr>
    <w:rPr>
      <w:rFonts w:ascii="Arial" w:hAnsi="Arial" w:eastAsia="Arial" w:cs="Arial"/>
      <w:i/>
      <w:iCs/>
      <w:color w:val="272727" w:themeColor="text1" w:themeTint="D8"/>
    </w:rPr>
  </w:style>
  <w:style w:type="paragraph" w:styleId="866">
    <w:name w:val="Title"/>
    <w:basedOn w:val="905"/>
    <w:next w:val="905"/>
    <w:link w:val="867"/>
    <w:uiPriority w:val="10"/>
    <w:qFormat/>
    <w:pPr>
      <w:pBdr/>
      <w:spacing w:after="80" w:line="240" w:lineRule="auto"/>
      <w:ind/>
      <w:contextualSpacing w:val="true"/>
    </w:pPr>
    <w:rPr>
      <w:rFonts w:ascii="Arial" w:hAnsi="Arial" w:eastAsia="Arial" w:cs="Arial"/>
      <w:spacing w:val="-10"/>
      <w:sz w:val="56"/>
      <w:szCs w:val="56"/>
    </w:rPr>
  </w:style>
  <w:style w:type="character" w:styleId="867">
    <w:name w:val="Title Char"/>
    <w:basedOn w:val="856"/>
    <w:link w:val="866"/>
    <w:uiPriority w:val="10"/>
    <w:pPr>
      <w:pBdr/>
      <w:spacing/>
      <w:ind/>
    </w:pPr>
    <w:rPr>
      <w:rFonts w:ascii="Arial" w:hAnsi="Arial" w:eastAsia="Arial" w:cs="Arial"/>
      <w:spacing w:val="-10"/>
      <w:sz w:val="56"/>
      <w:szCs w:val="56"/>
    </w:rPr>
  </w:style>
  <w:style w:type="paragraph" w:styleId="868">
    <w:name w:val="Subtitle"/>
    <w:basedOn w:val="905"/>
    <w:next w:val="905"/>
    <w:link w:val="869"/>
    <w:uiPriority w:val="11"/>
    <w:qFormat/>
    <w:pPr>
      <w:numPr>
        <w:ilvl w:val="1"/>
      </w:numPr>
      <w:pBdr/>
      <w:spacing/>
      <w:ind/>
    </w:pPr>
    <w:rPr>
      <w:color w:val="595959" w:themeColor="text1" w:themeTint="A6"/>
      <w:spacing w:val="15"/>
      <w:sz w:val="28"/>
      <w:szCs w:val="28"/>
    </w:rPr>
  </w:style>
  <w:style w:type="character" w:styleId="869">
    <w:name w:val="Subtitle Char"/>
    <w:basedOn w:val="856"/>
    <w:link w:val="868"/>
    <w:uiPriority w:val="11"/>
    <w:pPr>
      <w:pBdr/>
      <w:spacing/>
      <w:ind/>
    </w:pPr>
    <w:rPr>
      <w:color w:val="595959" w:themeColor="text1" w:themeTint="A6"/>
      <w:spacing w:val="15"/>
      <w:sz w:val="28"/>
      <w:szCs w:val="28"/>
    </w:rPr>
  </w:style>
  <w:style w:type="paragraph" w:styleId="870">
    <w:name w:val="Quote"/>
    <w:basedOn w:val="905"/>
    <w:next w:val="905"/>
    <w:link w:val="871"/>
    <w:uiPriority w:val="29"/>
    <w:qFormat/>
    <w:pPr>
      <w:pBdr/>
      <w:spacing w:before="160"/>
      <w:ind/>
      <w:jc w:val="center"/>
    </w:pPr>
    <w:rPr>
      <w:i/>
      <w:iCs/>
      <w:color w:val="404040" w:themeColor="text1" w:themeTint="BF"/>
    </w:rPr>
  </w:style>
  <w:style w:type="character" w:styleId="871">
    <w:name w:val="Quote Char"/>
    <w:basedOn w:val="856"/>
    <w:link w:val="870"/>
    <w:uiPriority w:val="29"/>
    <w:pPr>
      <w:pBdr/>
      <w:spacing/>
      <w:ind/>
    </w:pPr>
    <w:rPr>
      <w:i/>
      <w:iCs/>
      <w:color w:val="404040" w:themeColor="text1" w:themeTint="BF"/>
    </w:rPr>
  </w:style>
  <w:style w:type="character" w:styleId="872">
    <w:name w:val="Intense Emphasis"/>
    <w:basedOn w:val="856"/>
    <w:uiPriority w:val="21"/>
    <w:qFormat/>
    <w:pPr>
      <w:pBdr/>
      <w:spacing/>
      <w:ind/>
    </w:pPr>
    <w:rPr>
      <w:i/>
      <w:iCs/>
      <w:color w:val="0f4761" w:themeColor="accent1" w:themeShade="BF"/>
    </w:rPr>
  </w:style>
  <w:style w:type="paragraph" w:styleId="873">
    <w:name w:val="Intense Quote"/>
    <w:basedOn w:val="905"/>
    <w:next w:val="905"/>
    <w:link w:val="87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4">
    <w:name w:val="Intense Quote Char"/>
    <w:basedOn w:val="856"/>
    <w:link w:val="873"/>
    <w:uiPriority w:val="30"/>
    <w:pPr>
      <w:pBdr/>
      <w:spacing/>
      <w:ind/>
    </w:pPr>
    <w:rPr>
      <w:i/>
      <w:iCs/>
      <w:color w:val="0f4761" w:themeColor="accent1" w:themeShade="BF"/>
    </w:rPr>
  </w:style>
  <w:style w:type="character" w:styleId="875">
    <w:name w:val="Intense Reference"/>
    <w:basedOn w:val="856"/>
    <w:uiPriority w:val="32"/>
    <w:qFormat/>
    <w:pPr>
      <w:pBdr/>
      <w:spacing/>
      <w:ind/>
    </w:pPr>
    <w:rPr>
      <w:b/>
      <w:bCs/>
      <w:smallCaps/>
      <w:color w:val="0f4761" w:themeColor="accent1" w:themeShade="BF"/>
      <w:spacing w:val="5"/>
    </w:rPr>
  </w:style>
  <w:style w:type="character" w:styleId="876">
    <w:name w:val="Subtle Emphasis"/>
    <w:basedOn w:val="856"/>
    <w:uiPriority w:val="19"/>
    <w:qFormat/>
    <w:pPr>
      <w:pBdr/>
      <w:spacing/>
      <w:ind/>
    </w:pPr>
    <w:rPr>
      <w:i/>
      <w:iCs/>
      <w:color w:val="404040" w:themeColor="text1" w:themeTint="BF"/>
    </w:rPr>
  </w:style>
  <w:style w:type="character" w:styleId="877">
    <w:name w:val="Emphasis"/>
    <w:basedOn w:val="856"/>
    <w:uiPriority w:val="20"/>
    <w:qFormat/>
    <w:pPr>
      <w:pBdr/>
      <w:spacing/>
      <w:ind/>
    </w:pPr>
    <w:rPr>
      <w:i/>
      <w:iCs/>
    </w:rPr>
  </w:style>
  <w:style w:type="character" w:styleId="878">
    <w:name w:val="Strong"/>
    <w:basedOn w:val="856"/>
    <w:uiPriority w:val="22"/>
    <w:qFormat/>
    <w:pPr>
      <w:pBdr/>
      <w:spacing/>
      <w:ind/>
    </w:pPr>
    <w:rPr>
      <w:b/>
      <w:bCs/>
    </w:rPr>
  </w:style>
  <w:style w:type="character" w:styleId="879">
    <w:name w:val="Subtle Reference"/>
    <w:basedOn w:val="856"/>
    <w:uiPriority w:val="31"/>
    <w:qFormat/>
    <w:pPr>
      <w:pBdr/>
      <w:spacing/>
      <w:ind/>
    </w:pPr>
    <w:rPr>
      <w:smallCaps/>
      <w:color w:val="5a5a5a" w:themeColor="text1" w:themeTint="A5"/>
    </w:rPr>
  </w:style>
  <w:style w:type="character" w:styleId="880">
    <w:name w:val="Book Title"/>
    <w:basedOn w:val="856"/>
    <w:uiPriority w:val="33"/>
    <w:qFormat/>
    <w:pPr>
      <w:pBdr/>
      <w:spacing/>
      <w:ind/>
    </w:pPr>
    <w:rPr>
      <w:b/>
      <w:bCs/>
      <w:i/>
      <w:iCs/>
      <w:spacing w:val="5"/>
    </w:rPr>
  </w:style>
  <w:style w:type="paragraph" w:styleId="881">
    <w:name w:val="Header"/>
    <w:basedOn w:val="905"/>
    <w:link w:val="882"/>
    <w:uiPriority w:val="99"/>
    <w:unhideWhenUsed/>
    <w:pPr>
      <w:pBdr/>
      <w:tabs>
        <w:tab w:val="center" w:leader="none" w:pos="4844"/>
        <w:tab w:val="right" w:leader="none" w:pos="9689"/>
      </w:tabs>
      <w:spacing w:after="0" w:line="240" w:lineRule="auto"/>
      <w:ind/>
    </w:pPr>
  </w:style>
  <w:style w:type="character" w:styleId="882">
    <w:name w:val="Header Char"/>
    <w:basedOn w:val="856"/>
    <w:link w:val="881"/>
    <w:uiPriority w:val="99"/>
    <w:pPr>
      <w:pBdr/>
      <w:spacing/>
      <w:ind/>
    </w:pPr>
  </w:style>
  <w:style w:type="paragraph" w:styleId="883">
    <w:name w:val="Footer"/>
    <w:basedOn w:val="905"/>
    <w:link w:val="884"/>
    <w:uiPriority w:val="99"/>
    <w:unhideWhenUsed/>
    <w:pPr>
      <w:pBdr/>
      <w:tabs>
        <w:tab w:val="center" w:leader="none" w:pos="4844"/>
        <w:tab w:val="right" w:leader="none" w:pos="9689"/>
      </w:tabs>
      <w:spacing w:after="0" w:line="240" w:lineRule="auto"/>
      <w:ind/>
    </w:pPr>
  </w:style>
  <w:style w:type="character" w:styleId="884">
    <w:name w:val="Footer Char"/>
    <w:basedOn w:val="856"/>
    <w:link w:val="883"/>
    <w:uiPriority w:val="99"/>
    <w:pPr>
      <w:pBdr/>
      <w:spacing/>
      <w:ind/>
    </w:pPr>
  </w:style>
  <w:style w:type="paragraph" w:styleId="885">
    <w:name w:val="Caption"/>
    <w:basedOn w:val="905"/>
    <w:next w:val="905"/>
    <w:uiPriority w:val="35"/>
    <w:unhideWhenUsed/>
    <w:qFormat/>
    <w:pPr>
      <w:pBdr/>
      <w:spacing w:after="200" w:line="240" w:lineRule="auto"/>
      <w:ind/>
    </w:pPr>
    <w:rPr>
      <w:i/>
      <w:iCs/>
      <w:color w:val="0e2841" w:themeColor="text2"/>
      <w:sz w:val="18"/>
      <w:szCs w:val="18"/>
    </w:rPr>
  </w:style>
  <w:style w:type="paragraph" w:styleId="886">
    <w:name w:val="footnote text"/>
    <w:basedOn w:val="905"/>
    <w:link w:val="887"/>
    <w:uiPriority w:val="99"/>
    <w:semiHidden/>
    <w:unhideWhenUsed/>
    <w:pPr>
      <w:pBdr/>
      <w:spacing w:after="0" w:line="240" w:lineRule="auto"/>
      <w:ind/>
    </w:pPr>
    <w:rPr>
      <w:sz w:val="20"/>
      <w:szCs w:val="20"/>
    </w:rPr>
  </w:style>
  <w:style w:type="character" w:styleId="887">
    <w:name w:val="Footnote Text Char"/>
    <w:basedOn w:val="856"/>
    <w:link w:val="886"/>
    <w:uiPriority w:val="99"/>
    <w:semiHidden/>
    <w:pPr>
      <w:pBdr/>
      <w:spacing/>
      <w:ind/>
    </w:pPr>
    <w:rPr>
      <w:sz w:val="20"/>
      <w:szCs w:val="20"/>
    </w:rPr>
  </w:style>
  <w:style w:type="character" w:styleId="888">
    <w:name w:val="footnote reference"/>
    <w:basedOn w:val="856"/>
    <w:uiPriority w:val="99"/>
    <w:semiHidden/>
    <w:unhideWhenUsed/>
    <w:pPr>
      <w:pBdr/>
      <w:spacing/>
      <w:ind/>
    </w:pPr>
    <w:rPr>
      <w:vertAlign w:val="superscript"/>
    </w:rPr>
  </w:style>
  <w:style w:type="paragraph" w:styleId="889">
    <w:name w:val="endnote text"/>
    <w:basedOn w:val="905"/>
    <w:link w:val="890"/>
    <w:uiPriority w:val="99"/>
    <w:semiHidden/>
    <w:unhideWhenUsed/>
    <w:pPr>
      <w:pBdr/>
      <w:spacing w:after="0" w:line="240" w:lineRule="auto"/>
      <w:ind/>
    </w:pPr>
    <w:rPr>
      <w:sz w:val="20"/>
      <w:szCs w:val="20"/>
    </w:rPr>
  </w:style>
  <w:style w:type="character" w:styleId="890">
    <w:name w:val="Endnote Text Char"/>
    <w:basedOn w:val="856"/>
    <w:link w:val="889"/>
    <w:uiPriority w:val="99"/>
    <w:semiHidden/>
    <w:pPr>
      <w:pBdr/>
      <w:spacing/>
      <w:ind/>
    </w:pPr>
    <w:rPr>
      <w:sz w:val="20"/>
      <w:szCs w:val="20"/>
    </w:rPr>
  </w:style>
  <w:style w:type="character" w:styleId="891">
    <w:name w:val="endnote reference"/>
    <w:basedOn w:val="856"/>
    <w:uiPriority w:val="99"/>
    <w:semiHidden/>
    <w:unhideWhenUsed/>
    <w:pPr>
      <w:pBdr/>
      <w:spacing/>
      <w:ind/>
    </w:pPr>
    <w:rPr>
      <w:vertAlign w:val="superscript"/>
    </w:rPr>
  </w:style>
  <w:style w:type="character" w:styleId="892">
    <w:name w:val="Hyperlink"/>
    <w:basedOn w:val="856"/>
    <w:uiPriority w:val="99"/>
    <w:unhideWhenUsed/>
    <w:pPr>
      <w:pBdr/>
      <w:spacing/>
      <w:ind/>
    </w:pPr>
    <w:rPr>
      <w:color w:val="0563c1" w:themeColor="hyperlink"/>
      <w:u w:val="single"/>
    </w:rPr>
  </w:style>
  <w:style w:type="character" w:styleId="893">
    <w:name w:val="FollowedHyperlink"/>
    <w:basedOn w:val="856"/>
    <w:uiPriority w:val="99"/>
    <w:semiHidden/>
    <w:unhideWhenUsed/>
    <w:pPr>
      <w:pBdr/>
      <w:spacing/>
      <w:ind/>
    </w:pPr>
    <w:rPr>
      <w:color w:val="954f72" w:themeColor="followedHyperlink"/>
      <w:u w:val="single"/>
    </w:rPr>
  </w:style>
  <w:style w:type="paragraph" w:styleId="894">
    <w:name w:val="toc 1"/>
    <w:basedOn w:val="905"/>
    <w:next w:val="905"/>
    <w:uiPriority w:val="39"/>
    <w:unhideWhenUsed/>
    <w:pPr>
      <w:pBdr/>
      <w:spacing w:after="100"/>
      <w:ind/>
    </w:pPr>
  </w:style>
  <w:style w:type="paragraph" w:styleId="895">
    <w:name w:val="toc 2"/>
    <w:basedOn w:val="905"/>
    <w:next w:val="905"/>
    <w:uiPriority w:val="39"/>
    <w:unhideWhenUsed/>
    <w:pPr>
      <w:pBdr/>
      <w:spacing w:after="100"/>
      <w:ind w:left="220"/>
    </w:pPr>
  </w:style>
  <w:style w:type="paragraph" w:styleId="896">
    <w:name w:val="toc 3"/>
    <w:basedOn w:val="905"/>
    <w:next w:val="905"/>
    <w:uiPriority w:val="39"/>
    <w:unhideWhenUsed/>
    <w:pPr>
      <w:pBdr/>
      <w:spacing w:after="100"/>
      <w:ind w:left="440"/>
    </w:pPr>
  </w:style>
  <w:style w:type="paragraph" w:styleId="897">
    <w:name w:val="toc 4"/>
    <w:basedOn w:val="905"/>
    <w:next w:val="905"/>
    <w:uiPriority w:val="39"/>
    <w:unhideWhenUsed/>
    <w:pPr>
      <w:pBdr/>
      <w:spacing w:after="100"/>
      <w:ind w:left="660"/>
    </w:pPr>
  </w:style>
  <w:style w:type="paragraph" w:styleId="898">
    <w:name w:val="toc 5"/>
    <w:basedOn w:val="905"/>
    <w:next w:val="905"/>
    <w:uiPriority w:val="39"/>
    <w:unhideWhenUsed/>
    <w:pPr>
      <w:pBdr/>
      <w:spacing w:after="100"/>
      <w:ind w:left="880"/>
    </w:pPr>
  </w:style>
  <w:style w:type="paragraph" w:styleId="899">
    <w:name w:val="toc 6"/>
    <w:basedOn w:val="905"/>
    <w:next w:val="905"/>
    <w:uiPriority w:val="39"/>
    <w:unhideWhenUsed/>
    <w:pPr>
      <w:pBdr/>
      <w:spacing w:after="100"/>
      <w:ind w:left="1100"/>
    </w:pPr>
  </w:style>
  <w:style w:type="paragraph" w:styleId="900">
    <w:name w:val="toc 7"/>
    <w:basedOn w:val="905"/>
    <w:next w:val="905"/>
    <w:uiPriority w:val="39"/>
    <w:unhideWhenUsed/>
    <w:pPr>
      <w:pBdr/>
      <w:spacing w:after="100"/>
      <w:ind w:left="1320"/>
    </w:pPr>
  </w:style>
  <w:style w:type="paragraph" w:styleId="901">
    <w:name w:val="toc 8"/>
    <w:basedOn w:val="905"/>
    <w:next w:val="905"/>
    <w:uiPriority w:val="39"/>
    <w:unhideWhenUsed/>
    <w:pPr>
      <w:pBdr/>
      <w:spacing w:after="100"/>
      <w:ind w:left="1540"/>
    </w:pPr>
  </w:style>
  <w:style w:type="paragraph" w:styleId="902">
    <w:name w:val="toc 9"/>
    <w:basedOn w:val="905"/>
    <w:next w:val="905"/>
    <w:uiPriority w:val="39"/>
    <w:unhideWhenUsed/>
    <w:pPr>
      <w:pBdr/>
      <w:spacing w:after="100"/>
      <w:ind w:left="1760"/>
    </w:pPr>
  </w:style>
  <w:style w:type="paragraph" w:styleId="903">
    <w:name w:val="TOC Heading"/>
    <w:uiPriority w:val="39"/>
    <w:unhideWhenUsed/>
    <w:pPr>
      <w:pBdr/>
      <w:spacing/>
      <w:ind/>
    </w:pPr>
  </w:style>
  <w:style w:type="paragraph" w:styleId="904">
    <w:name w:val="table of figures"/>
    <w:basedOn w:val="905"/>
    <w:next w:val="905"/>
    <w:uiPriority w:val="99"/>
    <w:unhideWhenUsed/>
    <w:pPr>
      <w:pBdr/>
      <w:spacing w:after="0" w:afterAutospacing="0"/>
      <w:ind/>
    </w:pPr>
  </w:style>
  <w:style w:type="paragraph" w:styleId="905" w:default="1">
    <w:name w:val="Normal"/>
    <w:qFormat/>
    <w:pPr>
      <w:pBdr/>
      <w:spacing/>
      <w:ind/>
    </w:pPr>
  </w:style>
  <w:style w:type="table" w:styleId="906"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7" w:default="1">
    <w:name w:val="No List"/>
    <w:uiPriority w:val="99"/>
    <w:semiHidden/>
    <w:unhideWhenUsed/>
    <w:pPr>
      <w:pBdr/>
      <w:spacing/>
      <w:ind/>
    </w:pPr>
  </w:style>
  <w:style w:type="paragraph" w:styleId="908">
    <w:name w:val="No Spacing"/>
    <w:basedOn w:val="905"/>
    <w:uiPriority w:val="1"/>
    <w:qFormat/>
    <w:pPr>
      <w:pBdr/>
      <w:spacing w:after="0" w:line="240" w:lineRule="auto"/>
      <w:ind/>
    </w:pPr>
  </w:style>
  <w:style w:type="paragraph" w:styleId="909">
    <w:name w:val="List Paragraph"/>
    <w:basedOn w:val="905"/>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hyperlink" Target="https://hal.science/hal-00266644/document" TargetMode="External"/><Relationship Id="rId11" Type="http://schemas.openxmlformats.org/officeDocument/2006/relationships/hyperlink" Target="https://doi.org/10.1051/refdp/201963026" TargetMode="External"/><Relationship Id="rId12" Type="http://schemas.openxmlformats.org/officeDocument/2006/relationships/hyperlink" Target="https://lelementarium.fr/element-fiche/or/" TargetMode="External"/><Relationship Id="rId13" Type="http://schemas.openxmlformats.org/officeDocument/2006/relationships/hyperlink" Target="https://www.vie-publique.fr/rapport/24531-lor-en-guyane-eclats-et-artifices" TargetMode="External"/><Relationship Id="rId14" Type="http://schemas.openxmlformats.org/officeDocument/2006/relationships/hyperlink" Target="https://www.vie-publique.fr/files/rapport/pdf/004001895.pdf" TargetMode="External"/><Relationship Id="rId15" Type="http://schemas.openxmlformats.org/officeDocument/2006/relationships/hyperlink" Target="https://labomat.eu/fr/faq/594-comment-utiliser-une-coupe-de-viscosite-.html" TargetMode="External"/><Relationship Id="rId16" Type="http://schemas.openxmlformats.org/officeDocument/2006/relationships/hyperlink" Target="https://webbook.nist.gov/cgi/cbook.cgi?ID=72-48-0" TargetMode="External"/><Relationship Id="rId17" Type="http://schemas.openxmlformats.org/officeDocument/2006/relationships/image" Target="media/image1.png"/><Relationship Id="rId18" Type="http://schemas.openxmlformats.org/officeDocument/2006/relationships/hyperlink" Target="https://webbook.nist.gov/cgi/cbook.cgi?ID=C72480&amp;Mask=400#UV-Vis-Spec"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ONLYOFFICE/8.3.3.21</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2026-03-04T18:37:17Z</dcterms:modified>
</cp:coreProperties>
</file>