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Résumé : </w:t>
      </w:r>
    </w:p>
    <w:p>
      <w:pPr>
        <w:pStyle w:val="Normal"/>
        <w:bidi w:val="0"/>
        <w:jc w:val="start"/>
        <w:rPr/>
      </w:pPr>
      <w:r>
        <w:rPr/>
      </w:r>
    </w:p>
    <w:p>
      <w:pPr>
        <w:pStyle w:val="Heading3"/>
        <w:bidi w:val="0"/>
        <w:jc w:val="start"/>
        <w:rPr/>
      </w:pPr>
      <w:r>
        <w:rPr/>
        <w:t>Synthèse de la revue de littérature — Motivation, campagnes et persuasion</w:t>
      </w:r>
    </w:p>
    <w:p>
      <w:pPr>
        <w:pStyle w:val="BodyText"/>
        <w:rPr/>
      </w:pPr>
      <w:r>
        <w:rPr/>
        <w:t xml:space="preserve">Cette revue de littérature apporte principalement des éléments permettant de mieux préciser la composante </w:t>
      </w:r>
      <w:r>
        <w:rPr>
          <w:rStyle w:val="Strong"/>
        </w:rPr>
        <w:t>motivationnelle</w:t>
      </w:r>
      <w:r>
        <w:rPr/>
        <w:t xml:space="preserve"> du modèle. Elle confirme l’intérêt de distinguer une motivation propre à chaque individu des effets produits par une intervention publique, tout en faisant apparaître une difficulté importante : une campagne peut à la fois </w:t>
      </w:r>
      <w:r>
        <w:rPr>
          <w:rStyle w:val="Strong"/>
        </w:rPr>
        <w:t>augmenter la motivation à adopter un comportement et produire des effets négatifs sur la motivation intrinsèque</w:t>
      </w:r>
      <w:r>
        <w:rPr/>
        <w:t>.</w:t>
      </w:r>
    </w:p>
    <w:p>
      <w:pPr>
        <w:pStyle w:val="BodyText"/>
        <w:rPr/>
      </w:pPr>
      <w:r>
        <w:rPr/>
        <w:t xml:space="preserve">Un premier ensemble de travaux porte sur la distinction entre </w:t>
      </w:r>
      <w:r>
        <w:rPr>
          <w:rStyle w:val="Strong"/>
        </w:rPr>
        <w:t>motivations intrinsèques et extrinsèques</w:t>
      </w:r>
      <w:r>
        <w:rPr/>
        <w:t xml:space="preserve">. </w:t>
      </w:r>
      <w:r>
        <w:rPr>
          <w:rStyle w:val="Strong"/>
        </w:rPr>
        <w:t>Bénabou et Tirole</w:t>
      </w:r>
      <w:r>
        <w:rPr/>
        <w:t xml:space="preserve"> montrent que les individus disposent d'une motivation qui leur est propre, mais que celle-ci dépend également de leur environnement social et des interventions extérieures. </w:t>
      </w:r>
      <w:r>
        <w:rPr>
          <w:rStyle w:val="Strong"/>
        </w:rPr>
        <w:t>Lindenberg</w:t>
      </w:r>
      <w:r>
        <w:rPr/>
        <w:t xml:space="preserve"> insiste également sur le rôle de la motivation intrinsèque, du bien-être retiré d’une action et du </w:t>
      </w:r>
      <w:r>
        <w:rPr>
          <w:rStyle w:val="Emphasis"/>
        </w:rPr>
        <w:t>framing</w:t>
      </w:r>
      <w:r>
        <w:rPr/>
        <w:t xml:space="preserve">. </w:t>
      </w:r>
      <w:r>
        <w:rPr>
          <w:rStyle w:val="Strong"/>
        </w:rPr>
        <w:t>Kreps</w:t>
      </w:r>
      <w:r>
        <w:rPr/>
        <w:t xml:space="preserve"> distingue clairement les raisons intrinsèques d’agir des incitations externes qui viennent modifier le comportement. Ces travaux confortent donc l’idée de distinguer dans le modèle </w:t>
      </w:r>
      <w:r>
        <w:rPr>
          <w:rStyle w:val="Strong"/>
        </w:rPr>
        <w:t>Vi⁰</w:t>
      </w:r>
      <w:r>
        <w:rPr/>
        <w:t xml:space="preserve">, représentant l’état motivationnel initial et hétérogène des agents, de </w:t>
      </w:r>
      <w:r>
        <w:rPr>
          <w:rStyle w:val="Strong"/>
        </w:rPr>
        <w:t>ΔV(1−e</w:t>
      </w:r>
      <w:r>
        <w:rPr>
          <w:rStyle w:val="Strong"/>
          <w:vertAlign w:val="superscript"/>
        </w:rPr>
        <w:t>−βnT</w:t>
      </w:r>
      <w:r>
        <w:rPr>
          <w:rStyle w:val="Strong"/>
        </w:rPr>
        <w:t>)</w:t>
      </w:r>
      <w:r>
        <w:rPr/>
        <w:t xml:space="preserve">, qui représente la modification de cette motivation sous l’effet de la politique publique. </w:t>
      </w:r>
      <w:r>
        <w:rPr>
          <w:rStyle w:val="Strong"/>
        </w:rPr>
        <w:t>Ticu</w:t>
      </w:r>
      <w:r>
        <w:rPr/>
        <w:t xml:space="preserve"> va dans le même sens en soulignant que l’efficacité d’une politique dépend du canal motivationnel qu’elle cherche à mobiliser.</w:t>
      </w:r>
    </w:p>
    <w:p>
      <w:pPr>
        <w:pStyle w:val="BodyText"/>
        <w:rPr/>
      </w:pPr>
      <w:r>
        <w:rPr/>
        <w:t xml:space="preserve">La littérature sur le </w:t>
      </w:r>
      <w:r>
        <w:rPr>
          <w:rStyle w:val="Strong"/>
        </w:rPr>
        <w:t>crowding-in et le crowding-out</w:t>
      </w:r>
      <w:r>
        <w:rPr/>
        <w:t xml:space="preserve"> est particulièrement importante pour le projet. </w:t>
      </w:r>
      <w:r>
        <w:rPr>
          <w:rStyle w:val="Strong"/>
        </w:rPr>
        <w:t>Frey</w:t>
      </w:r>
      <w:r>
        <w:rPr/>
        <w:t xml:space="preserve">, </w:t>
      </w:r>
      <w:r>
        <w:rPr>
          <w:rStyle w:val="Strong"/>
        </w:rPr>
        <w:t>Bénabou et Tirole</w:t>
      </w:r>
      <w:r>
        <w:rPr/>
        <w:t xml:space="preserve">, ainsi que </w:t>
      </w:r>
      <w:r>
        <w:rPr>
          <w:rStyle w:val="Strong"/>
        </w:rPr>
        <w:t>James</w:t>
      </w:r>
      <w:r>
        <w:rPr/>
        <w:t xml:space="preserve"> montrent qu’une intervention externe ne produit pas nécessairement un simple effet positif sur la motivation. Une récompense, une incitation ou une intervention trop fortement perçue comme un mécanisme de contrôle peut au contraire réduire la motivation intrinsèque. À l’inverse, certaines formes de reconnaissance ou d’incitations symboliques peuvent renforcer l’effort. </w:t>
      </w:r>
      <w:r>
        <w:rPr>
          <w:rStyle w:val="Strong"/>
        </w:rPr>
        <w:t>Underhill</w:t>
      </w:r>
      <w:r>
        <w:rPr/>
        <w:t xml:space="preserve"> insiste en outre sur le rôle de l’hétérogénéité : les individus ne réagissent pas tous de la même manière aux incitations externes. Cette littérature permet donc d’envisager que </w:t>
      </w:r>
      <w:r>
        <w:rPr>
          <w:rStyle w:val="Strong"/>
        </w:rPr>
        <w:t>Vi(n) ne soit pas nécessairement monotone croissante avec l’intensité n de la politique</w:t>
      </w:r>
      <w:r>
        <w:rPr/>
        <w:t xml:space="preserve"> : une campagne peut convaincre certains agents tout en faisant perdre de la motivation intrinsèque à d’autres. Cela crée cependant une question de modélisation importante, puisque certains de ces effets pourraient déjà être captés par la fonction de réactance.</w:t>
      </w:r>
    </w:p>
    <w:p>
      <w:pPr>
        <w:pStyle w:val="BodyText"/>
        <w:rPr/>
      </w:pPr>
      <w:r>
        <w:rPr/>
        <w:t xml:space="preserve">Un deuxième ensemble de travaux concerne </w:t>
      </w:r>
      <w:r>
        <w:rPr>
          <w:rStyle w:val="Strong"/>
        </w:rPr>
        <w:t>l’efficacité des campagnes et la persuasion</w:t>
      </w:r>
      <w:r>
        <w:rPr/>
        <w:t xml:space="preserve">. </w:t>
      </w:r>
      <w:r>
        <w:rPr>
          <w:rStyle w:val="Strong"/>
        </w:rPr>
        <w:t>Snyder</w:t>
      </w:r>
      <w:r>
        <w:rPr/>
        <w:t xml:space="preserve">, </w:t>
      </w:r>
      <w:r>
        <w:rPr>
          <w:rStyle w:val="Strong"/>
        </w:rPr>
        <w:t>Wakefield, Loken et Hornik</w:t>
      </w:r>
      <w:r>
        <w:rPr/>
        <w:t xml:space="preserve">, ainsi que </w:t>
      </w:r>
      <w:r>
        <w:rPr>
          <w:rStyle w:val="Strong"/>
        </w:rPr>
        <w:t>Nyabadza et al.</w:t>
      </w:r>
      <w:r>
        <w:rPr/>
        <w:t xml:space="preserve"> confirment que les campagnes de communication peuvent effectivement modifier les comportements, notamment dans le domaine de la santé publique. Leur efficacité dépend cependant du </w:t>
      </w:r>
      <w:r>
        <w:rPr>
          <w:rStyle w:val="Strong"/>
        </w:rPr>
        <w:t>contenu, du canal de communication, du framing et de la répétition</w:t>
      </w:r>
      <w:r>
        <w:rPr/>
        <w:t xml:space="preserve">. </w:t>
      </w:r>
      <w:r>
        <w:rPr>
          <w:rStyle w:val="Strong"/>
        </w:rPr>
        <w:t>Della Vigna et Gentzkow</w:t>
      </w:r>
      <w:r>
        <w:rPr/>
        <w:t xml:space="preserve"> montrent notamment que la persuasion fonctionne différemment selon le comportement ciblé et que les messages sont davantage efficaces lorsqu’ils sont compréhensibles et adaptés aux individus. </w:t>
      </w:r>
      <w:r>
        <w:rPr>
          <w:rStyle w:val="Strong"/>
        </w:rPr>
        <w:t>Colombo, Femminis et Pavan</w:t>
      </w:r>
      <w:r>
        <w:rPr/>
        <w:t xml:space="preserve"> permettent de leur côté de justifier l’idée que le mode de transmission de l’information influence les agents. Ces travaux fournissent donc un fondement à l’introduction de </w:t>
      </w:r>
      <w:r>
        <w:rPr>
          <w:rStyle w:val="Strong"/>
        </w:rPr>
        <w:t>β comme paramètre d’efficacité ou de capacité de pénétration de la campagne</w:t>
      </w:r>
      <w:r>
        <w:rPr/>
        <w:t xml:space="preserve">, tandis que </w:t>
      </w:r>
      <w:r>
        <w:rPr>
          <w:rStyle w:val="Strong"/>
        </w:rPr>
        <w:t>n</w:t>
      </w:r>
      <w:r>
        <w:rPr/>
        <w:t xml:space="preserve"> représente son intensité perçue.</w:t>
      </w:r>
    </w:p>
    <w:p>
      <w:pPr>
        <w:pStyle w:val="BodyText"/>
        <w:rPr/>
      </w:pPr>
      <w:r>
        <w:rPr/>
        <w:t xml:space="preserve">Les travaux de </w:t>
      </w:r>
      <w:r>
        <w:rPr>
          <w:rStyle w:val="Strong"/>
        </w:rPr>
        <w:t>Blackman et Hoffmann</w:t>
      </w:r>
      <w:r>
        <w:rPr/>
        <w:t xml:space="preserve"> sont particulièrement intéressants pour la dynamique du modèle. Leur étude sur les nudges de prévention du COVID-19 montre que l’exposition répétée à une campagne peut d’abord renforcer son effet, avant qu'une partie de la population ne s’accommode des messages et ne suive plus les recommandations. La relation entre intensité ou durée d’exposition et adoption peut donc présenter des </w:t>
      </w:r>
      <w:r>
        <w:rPr>
          <w:rStyle w:val="Strong"/>
        </w:rPr>
        <w:t>rendements décroissants</w:t>
      </w:r>
      <w:r>
        <w:rPr/>
        <w:t>, voire devenir moins efficace au-delà d’un certain niveau. Cela rejoint directement l’idée que l’intensification d’une politique ne produit pas nécessairement une hausse proportionnelle de l’adoption.</w:t>
      </w:r>
    </w:p>
    <w:p>
      <w:pPr>
        <w:pStyle w:val="BodyText"/>
        <w:rPr/>
      </w:pPr>
      <w:r>
        <w:rPr/>
        <w:t xml:space="preserve">Un autre résultat important concerne la </w:t>
      </w:r>
      <w:r>
        <w:rPr>
          <w:rStyle w:val="Strong"/>
        </w:rPr>
        <w:t>réception de l’information par les agents</w:t>
      </w:r>
      <w:r>
        <w:rPr/>
        <w:t xml:space="preserve">. </w:t>
      </w:r>
      <w:r>
        <w:rPr>
          <w:rStyle w:val="Strong"/>
        </w:rPr>
        <w:t>Espinosa et Stoop</w:t>
      </w:r>
      <w:r>
        <w:rPr/>
        <w:t xml:space="preserve">, à partir d’une enquête auprès de plusieurs milliers de personnes au Royaume-Uni, montrent que les campagnes d’information sont généralement mieux acceptées que des instruments plus coercitifs, mais que certains individus refusent malgré tout l’information ou lui accordent volontairement peu d’importance lorsqu’elle provient des pouvoirs publics. Cela fournit un lien intéressant entre </w:t>
      </w:r>
      <w:r>
        <w:rPr>
          <w:rStyle w:val="Strong"/>
        </w:rPr>
        <w:t>efficacité de la campagne, motivation et confiance institutionnelle</w:t>
      </w:r>
      <w:r>
        <w:rPr/>
        <w:t xml:space="preserve">. </w:t>
      </w:r>
      <w:r>
        <w:rPr>
          <w:rStyle w:val="Strong"/>
        </w:rPr>
        <w:t>Semken</w:t>
      </w:r>
      <w:r>
        <w:rPr/>
        <w:t xml:space="preserve"> souligne également que la complexité d’une politique ou la difficulté pour un individu de comprendre son impact collectif peut réduire son adoption. La capacité d’une campagne à être comprise et intégrée par les agents apparaît donc comme une dimension importante de β.</w:t>
      </w:r>
    </w:p>
    <w:p>
      <w:pPr>
        <w:pStyle w:val="BodyText"/>
        <w:rPr/>
      </w:pPr>
      <w:r>
        <w:rPr/>
        <w:t xml:space="preserve">Enfin, plusieurs travaux abordent </w:t>
      </w:r>
      <w:r>
        <w:rPr>
          <w:rStyle w:val="Strong"/>
        </w:rPr>
        <w:t>l’apprentissage et la modification des croyances</w:t>
      </w:r>
      <w:r>
        <w:rPr/>
        <w:t xml:space="preserve">. </w:t>
      </w:r>
      <w:r>
        <w:rPr>
          <w:rStyle w:val="Strong"/>
        </w:rPr>
        <w:t>Lee et Albarracin</w:t>
      </w:r>
      <w:r>
        <w:rPr/>
        <w:t xml:space="preserve"> montrent que les comportements peuvent être modifiés en agissant d’abord sur les croyances des individus. </w:t>
      </w:r>
      <w:r>
        <w:rPr>
          <w:rStyle w:val="Strong"/>
        </w:rPr>
        <w:t>Sobel</w:t>
      </w:r>
      <w:r>
        <w:rPr/>
        <w:t xml:space="preserve"> rappelle que les modèles économiques d’apprentissage partent généralement de préférences initiales qui sont ensuite actualisées en fonction des informations disponibles. Cette approche est particulièrement intéressante pour la future version dynamique du projet : une campagne peut être considérée comme une </w:t>
      </w:r>
      <w:r>
        <w:rPr>
          <w:rStyle w:val="Strong"/>
        </w:rPr>
        <w:t>source d’apprentissage qui modifie progressivement les perceptions et les motivations des agents</w:t>
      </w:r>
      <w:r>
        <w:rPr/>
        <w:t>. Elle soulève néanmoins une question importante pour le modèle actuel : il faut distinguer clairement ce qui relève des préférences initiales à t₀ et ce qui résulte de l’information reçue à travers la politique publique.</w:t>
      </w:r>
    </w:p>
    <w:p>
      <w:pPr>
        <w:pStyle w:val="Heading3"/>
        <w:rPr/>
      </w:pPr>
      <w:r>
        <w:rPr/>
        <w:t>Ce que cette revue apporte au projet</w:t>
      </w:r>
    </w:p>
    <w:p>
      <w:pPr>
        <w:pStyle w:val="BodyText"/>
        <w:rPr/>
      </w:pPr>
      <w:r>
        <w:rPr/>
        <w:t>Cette revue consolide surtout trois éléments du modèle.</w:t>
      </w:r>
    </w:p>
    <w:p>
      <w:pPr>
        <w:pStyle w:val="BodyText"/>
        <w:rPr/>
      </w:pPr>
      <w:r>
        <w:rPr/>
        <w:t xml:space="preserve">Premièrement, elle donne une justification théorique à la distinction entre </w:t>
      </w:r>
      <w:r>
        <w:rPr>
          <w:rStyle w:val="Strong"/>
        </w:rPr>
        <w:t>motivation intrinsèque initiale (Vi⁰)</w:t>
      </w:r>
      <w:r>
        <w:rPr/>
        <w:t xml:space="preserve"> et </w:t>
      </w:r>
      <w:r>
        <w:rPr>
          <w:rStyle w:val="Strong"/>
        </w:rPr>
        <w:t>effet de la politique publique (</w:t>
      </w:r>
      <w:r>
        <w:rPr>
          <w:rStyle w:val="Strong"/>
        </w:rPr>
        <w:t>ΔV(1−e</w:t>
      </w:r>
      <w:r>
        <w:rPr>
          <w:rStyle w:val="Strong"/>
          <w:vertAlign w:val="superscript"/>
        </w:rPr>
        <w:t>−βnT</w:t>
      </w:r>
      <w:r>
        <w:rPr>
          <w:rStyle w:val="Strong"/>
        </w:rPr>
        <w:t>)</w:t>
      </w:r>
      <w:r>
        <w:rPr>
          <w:rStyle w:val="Strong"/>
        </w:rPr>
        <w:t>)</w:t>
      </w:r>
      <w:r>
        <w:rPr/>
        <w:t>. La population peut être hétérogène dès le départ, puis réagir différemment à une même intervention.</w:t>
      </w:r>
    </w:p>
    <w:p>
      <w:pPr>
        <w:pStyle w:val="BodyText"/>
        <w:rPr/>
      </w:pPr>
      <w:r>
        <w:rPr/>
        <w:t xml:space="preserve">Deuxièmement, elle montre que </w:t>
      </w:r>
      <w:r>
        <w:rPr>
          <w:rStyle w:val="Strong"/>
        </w:rPr>
        <w:t>l’intensité d’une politique publique peut avoir deux effets simultanés et potentiellement opposés</w:t>
      </w:r>
      <w:r>
        <w:rPr/>
        <w:t xml:space="preserve"> : elle peut augmenter la motivation en informant, persuadant ou facilitant l’action, mais elle peut également diminuer la motivation intrinsèque lorsqu’elle est perçue comme trop intrusive ou contrôlante. La littérature sur le </w:t>
      </w:r>
      <w:r>
        <w:rPr>
          <w:rStyle w:val="Emphasis"/>
        </w:rPr>
        <w:t>crowding-out</w:t>
      </w:r>
      <w:r>
        <w:rPr/>
        <w:t xml:space="preserve"> constitue donc un complément important à celle sur la réactance.</w:t>
      </w:r>
    </w:p>
    <w:p>
      <w:pPr>
        <w:pStyle w:val="BodyText"/>
        <w:rPr/>
      </w:pPr>
      <w:r>
        <w:rPr/>
        <w:t xml:space="preserve">Troisièmement, elle fournit des arguments pour considérer </w:t>
      </w:r>
      <w:r>
        <w:rPr>
          <w:rStyle w:val="Strong"/>
        </w:rPr>
        <w:t>β comme un paramètre caractérisant l’efficacité de transmission ou de persuasion d’une campagne</w:t>
      </w:r>
      <w:r>
        <w:rPr/>
        <w:t>, et non simplement comme une constante abstraite. Le contenu, le canal, le framing, la compréhension et la répétition de l’intervention peuvent modifier cette efficacité.</w:t>
      </w:r>
    </w:p>
    <w:p>
      <w:pPr>
        <w:pStyle w:val="BodyText"/>
        <w:rPr/>
      </w:pPr>
      <w:r>
        <w:rPr/>
        <w:t xml:space="preserve">La principale question qui ressort de cette revue est donc moins celle de l’existence d’un effet de campagne que celle de </w:t>
      </w:r>
      <w:r>
        <w:rPr>
          <w:rStyle w:val="Strong"/>
        </w:rPr>
        <w:t>la forme exacte de cet effet</w:t>
      </w:r>
      <w:r>
        <w:rPr/>
        <w:t xml:space="preserve">. La littérature semble soutenir une relation potentiellement non linéaire : une intervention faible peut ne produire quasiment aucun effet, une intervention suffisamment efficace peut augmenter l’adoption, mais une intervention trop répétée, trop incitative ou trop contrôlante peut générer du </w:t>
      </w:r>
      <w:r>
        <w:rPr>
          <w:rStyle w:val="Emphasis"/>
        </w:rPr>
        <w:t>crowding-out</w:t>
      </w:r>
      <w:r>
        <w:rPr/>
        <w:t xml:space="preserve"> et/ou de la réactance. Cette question est directement compatible avec la recherche d’un </w:t>
      </w:r>
      <w:r>
        <w:rPr>
          <w:rStyle w:val="Strong"/>
        </w:rPr>
        <w:t>niveau optimal d’intervention</w:t>
      </w:r>
      <w:r>
        <w:rPr/>
        <w:t>.</w:t>
      </w:r>
    </w:p>
    <w:p>
      <w:pPr>
        <w:pStyle w:val="BodyText"/>
        <w:rPr/>
      </w:pPr>
      <w:r>
        <w:rPr/>
        <w:t xml:space="preserve">Les auteurs à retenir en priorité sont donc </w:t>
      </w:r>
      <w:r>
        <w:rPr>
          <w:rStyle w:val="Strong"/>
        </w:rPr>
        <w:t>Bénabou &amp; Tirole, Frey, Kreps et Lindenberg</w:t>
      </w:r>
      <w:r>
        <w:rPr/>
        <w:t xml:space="preserve"> pour la distinction motivation intrinsèque/extrinsèque et le </w:t>
      </w:r>
      <w:r>
        <w:rPr>
          <w:rStyle w:val="Emphasis"/>
        </w:rPr>
        <w:t>crowding-out</w:t>
      </w:r>
      <w:r>
        <w:rPr/>
        <w:t xml:space="preserve"> ; </w:t>
      </w:r>
      <w:r>
        <w:rPr>
          <w:rStyle w:val="Strong"/>
        </w:rPr>
        <w:t>Kamenica</w:t>
      </w:r>
      <w:r>
        <w:rPr/>
        <w:t xml:space="preserve"> pour les mécanismes d’incitation et le </w:t>
      </w:r>
      <w:r>
        <w:rPr>
          <w:rStyle w:val="Emphasis"/>
        </w:rPr>
        <w:t>framing</w:t>
      </w:r>
      <w:r>
        <w:rPr/>
        <w:t xml:space="preserve"> ; </w:t>
      </w:r>
      <w:r>
        <w:rPr>
          <w:rStyle w:val="Strong"/>
        </w:rPr>
        <w:t>Snyder, Wakefield et al., Nyabadza et al. et Blackman &amp; Hoffmann</w:t>
      </w:r>
      <w:r>
        <w:rPr/>
        <w:t xml:space="preserve"> pour l’efficacité et les limites des campagnes ; </w:t>
      </w:r>
      <w:r>
        <w:rPr>
          <w:rStyle w:val="Strong"/>
        </w:rPr>
        <w:t>Della Vigna &amp; Gentzkow</w:t>
      </w:r>
      <w:r>
        <w:rPr/>
        <w:t xml:space="preserve"> pour la persuasion ; </w:t>
      </w:r>
      <w:r>
        <w:rPr>
          <w:rStyle w:val="Strong"/>
        </w:rPr>
        <w:t>Espinosa &amp; Stoop</w:t>
      </w:r>
      <w:r>
        <w:rPr/>
        <w:t xml:space="preserve"> pour la réception de l’information publique ; et </w:t>
      </w:r>
      <w:r>
        <w:rPr>
          <w:rStyle w:val="Strong"/>
        </w:rPr>
        <w:t>Sobel / Lee &amp; Albarracin</w:t>
      </w:r>
      <w:r>
        <w:rPr/>
        <w:t xml:space="preserve"> pour la future dimension d’apprentissage et de mise à jour des croyances.</w:t>
      </w:r>
    </w:p>
    <w:p>
      <w:pPr>
        <w:pStyle w:val="Normal"/>
        <w:bidi w:val="0"/>
        <w:jc w:val="start"/>
        <w:rPr/>
      </w:pPr>
      <w:r>
        <w:rPr/>
      </w:r>
    </w:p>
    <w:p>
      <w:pPr>
        <w:pStyle w:val="Normal"/>
        <w:bidi w:val="0"/>
        <w:jc w:val="start"/>
        <w:rPr/>
      </w:pPr>
      <w:r>
        <w:rPr/>
      </w:r>
      <w:r>
        <w:br w:type="page"/>
      </w:r>
    </w:p>
    <w:p>
      <w:pPr>
        <w:pStyle w:val="Normal"/>
        <w:bidi w:val="0"/>
        <w:jc w:val="start"/>
        <w:rPr/>
      </w:pPr>
      <w:r>
        <w:rPr/>
        <w:t>- E. Hanany, P. Klibanoff :  «</w:t>
      </w:r>
      <w:r>
        <w:rPr>
          <w:b/>
          <w:bCs/>
        </w:rPr>
        <w:t>Updating preferences with multiple priors</w:t>
      </w:r>
      <w:r>
        <w:rPr/>
        <w:t> » : Dans cet article les auteurs parlent de la prise de décision dans une situation d’ambiguïté et du paradoxe d’Ellsberg. Ils concluent simplement en disant que plus ou moins tous leurs modèles adoptent des lois de Bayes pour représenter ces décisions. Je n’y vois pas spécialement de point pour mon modèle mais je retiens les lois Bayesiennes au cas où.</w:t>
      </w:r>
    </w:p>
    <w:p>
      <w:pPr>
        <w:pStyle w:val="Normal"/>
        <w:bidi w:val="0"/>
        <w:jc w:val="start"/>
        <w:rPr/>
      </w:pPr>
      <w:r>
        <w:rPr/>
      </w:r>
    </w:p>
    <w:p>
      <w:pPr>
        <w:pStyle w:val="Normal"/>
        <w:bidi w:val="0"/>
        <w:jc w:val="start"/>
        <w:rPr/>
      </w:pPr>
      <w:r>
        <w:rPr/>
        <w:t>- L.Colombo, G. Femminis, A. Pavan : « </w:t>
      </w:r>
      <w:r>
        <w:rPr>
          <w:b/>
          <w:bCs/>
        </w:rPr>
        <w:t>Information acquisition and welfare</w:t>
      </w:r>
      <w:r>
        <w:rPr/>
        <w:t> » : Dans cet article, les auteurs parlent de l’inefficacité de l’équilibre des informations transmises aux agents. Ils mentionnent comme travaux futurs le fait de chercher si cette inefficacité est liée au moyen de communication (publicité par exemple). Cet article peut justifier le fait que Beta soit un paramètre qui modélise comment la campagne touche les agents. En fonction de chaque technique, on cherche à représenter qui sera touché et fera attention à celle-ci.</w:t>
      </w:r>
    </w:p>
    <w:p>
      <w:pPr>
        <w:pStyle w:val="Normal"/>
        <w:bidi w:val="0"/>
        <w:jc w:val="start"/>
        <w:rPr/>
      </w:pPr>
      <w:r>
        <w:rPr/>
      </w:r>
    </w:p>
    <w:p>
      <w:pPr>
        <w:pStyle w:val="Normal"/>
        <w:bidi w:val="0"/>
        <w:jc w:val="start"/>
        <w:rPr/>
      </w:pPr>
      <w:r>
        <w:rPr/>
        <w:t>- F. Nyabadza, C. Chiyaka, Z. Mukandavire, S. D. Hive-Musekwa : «</w:t>
      </w:r>
      <w:r>
        <w:rPr>
          <w:b/>
          <w:bCs/>
        </w:rPr>
        <w:t>ANALYSIS OF AN HIV/AIDS MODEL WITH PUBLIC-HEALTH INFORMATION CAMPAIGNS AND INDIVIDUAL WITHDRAWAL</w:t>
      </w:r>
      <w:r>
        <w:rPr/>
        <w:t> »: Dans cet article les auteurs étudient l’effet d’une campagne de sensibilisation sur la prévalence des cas de VIH. Leur modèle intègre un paramètre alpha qui mesure l’effet des campagnes. Ils tiennent compte aussi des personnes déjà atteintes qui n’ont plus de rapport et des autres facteurs explicatifs d’une baisse de transmission. Ils prouvent quand même qu’une campagne a bien un effet sur la population.</w:t>
      </w:r>
    </w:p>
    <w:p>
      <w:pPr>
        <w:pStyle w:val="Normal"/>
        <w:bidi w:val="0"/>
        <w:jc w:val="start"/>
        <w:rPr/>
      </w:pPr>
      <w:r>
        <w:rPr/>
      </w:r>
    </w:p>
    <w:p>
      <w:pPr>
        <w:pStyle w:val="Normal"/>
        <w:bidi w:val="0"/>
        <w:jc w:val="start"/>
        <w:rPr/>
      </w:pPr>
      <w:r>
        <w:rPr/>
        <w:t>- E. Kamenica : « </w:t>
      </w:r>
      <w:r>
        <w:rPr>
          <w:rFonts w:eastAsia="NSimSun" w:cs="Lucida Sans"/>
          <w:b/>
          <w:bCs/>
          <w:color w:val="auto"/>
          <w:kern w:val="2"/>
          <w:sz w:val="24"/>
          <w:szCs w:val="24"/>
          <w:lang w:val="fr-FR" w:eastAsia="zh-CN" w:bidi="hi-IN"/>
        </w:rPr>
        <w:t>Behavioral Economics and Psychology of Incentives</w:t>
      </w:r>
      <w:r>
        <w:rPr/>
        <w:t> » : Dans cet article l’auteur montre comment les mécanismes d’incitation mis en place sont parfois contreproductifs et comme le framing peut donner plus de résultat lors d’une prise de décision. Il vient justifier l’intérêt d’avoir un modèle de prédiction autour des agents qui acceptent de faire une action en fonction des différents types de mécanismes.</w:t>
      </w:r>
    </w:p>
    <w:p>
      <w:pPr>
        <w:pStyle w:val="Normal"/>
        <w:bidi w:val="0"/>
        <w:jc w:val="start"/>
        <w:rPr/>
      </w:pPr>
      <w:r>
        <w:rPr/>
      </w:r>
    </w:p>
    <w:p>
      <w:pPr>
        <w:pStyle w:val="Normal"/>
        <w:bidi w:val="0"/>
        <w:jc w:val="start"/>
        <w:rPr/>
      </w:pPr>
      <w:r>
        <w:rPr/>
        <w:t>- I. Gilboa, D. Schmeidler : « </w:t>
      </w:r>
      <w:r>
        <w:rPr>
          <w:rFonts w:eastAsia="NSimSun" w:cs="Lucida Sans"/>
          <w:b/>
          <w:bCs/>
          <w:color w:val="auto"/>
          <w:kern w:val="2"/>
          <w:sz w:val="24"/>
          <w:szCs w:val="24"/>
          <w:lang w:val="fr-FR" w:eastAsia="zh-CN" w:bidi="hi-IN"/>
        </w:rPr>
        <w:t>Updating Ambiguous Beliefs</w:t>
      </w:r>
      <w:r>
        <w:rPr/>
        <w:t> » (WP) : Un working paper autour des mise à jour de décision dans un cadre ambigu. Ici aussi, les auteurs font part de l’utilisation des lois bayesiennes en statistiques pour modéliser ces décisions. Faudrait-il considérer les lois bayésiennes dans les motivations des agents ?</w:t>
      </w:r>
    </w:p>
    <w:p>
      <w:pPr>
        <w:pStyle w:val="Normal"/>
        <w:bidi w:val="0"/>
        <w:jc w:val="start"/>
        <w:rPr/>
      </w:pPr>
      <w:r>
        <w:rPr/>
      </w:r>
    </w:p>
    <w:p>
      <w:pPr>
        <w:pStyle w:val="Normal"/>
        <w:bidi w:val="0"/>
        <w:jc w:val="start"/>
        <w:rPr/>
      </w:pPr>
      <w:r>
        <w:rPr/>
        <w:t>- L. De Castro, A. F. Galvao, D. Nunes :  « </w:t>
      </w:r>
      <w:r>
        <w:rPr>
          <w:rFonts w:eastAsia="NSimSun" w:cs="Lucida Sans"/>
          <w:b/>
          <w:bCs/>
          <w:color w:val="auto"/>
          <w:kern w:val="2"/>
          <w:sz w:val="24"/>
          <w:szCs w:val="24"/>
          <w:lang w:val="fr-FR" w:eastAsia="zh-CN" w:bidi="hi-IN"/>
        </w:rPr>
        <w:t>Dynamic economics with quantile preferences</w:t>
      </w:r>
      <w:r>
        <w:rPr/>
        <w:t> » : Les auteurs proposent un modèle de décision dans des conditions incertaines suivant une équation d’Euler. Je ne suis pas certain de l’intérêt pour mon projet mais il existe une notion de temporalité dans leurs travaux qui pourraient être intéressante pour le modèle dynamique.</w:t>
      </w:r>
    </w:p>
    <w:p>
      <w:pPr>
        <w:pStyle w:val="Normal"/>
        <w:bidi w:val="0"/>
        <w:jc w:val="start"/>
        <w:rPr/>
      </w:pPr>
      <w:r>
        <w:rPr/>
      </w:r>
    </w:p>
    <w:p>
      <w:pPr>
        <w:pStyle w:val="Normal"/>
        <w:bidi w:val="0"/>
        <w:jc w:val="start"/>
        <w:rPr/>
      </w:pPr>
      <w:r>
        <w:rPr/>
        <w:t>- L. B. Snyder : « </w:t>
      </w:r>
      <w:r>
        <w:rPr>
          <w:rFonts w:eastAsia="NSimSun" w:cs="Lucida Sans"/>
          <w:b/>
          <w:bCs/>
          <w:color w:val="auto"/>
          <w:kern w:val="2"/>
          <w:sz w:val="24"/>
          <w:szCs w:val="24"/>
          <w:lang w:val="fr-FR" w:eastAsia="zh-CN" w:bidi="hi-IN"/>
        </w:rPr>
        <w:t>Health Communication Campaigns and Their Impact on Behavior</w:t>
      </w:r>
      <w:r>
        <w:rPr/>
        <w:t> » : Un papier de plus qui vient confirmer l’intérêt des campagnes dans les questions sanitaires. L’auteure prouve qu’il existe bien un effet qui améliore les comportements. Cependant, elle n’est pas en mesure de la quantifier réellement. Elle mentionne aussi les facteurs d’influence comme les canaux de communication, la présentation de la campagne, le contenu etc.</w:t>
      </w:r>
    </w:p>
    <w:p>
      <w:pPr>
        <w:pStyle w:val="Normal"/>
        <w:bidi w:val="0"/>
        <w:jc w:val="start"/>
        <w:rPr/>
      </w:pPr>
      <w:r>
        <w:rPr/>
      </w:r>
    </w:p>
    <w:p>
      <w:pPr>
        <w:pStyle w:val="Normal"/>
        <w:bidi w:val="0"/>
        <w:jc w:val="start"/>
        <w:rPr/>
      </w:pPr>
      <w:r>
        <w:rPr/>
        <w:t>- G. C. Jacobson : « </w:t>
      </w:r>
      <w:r>
        <w:rPr>
          <w:rFonts w:eastAsia="NSimSun" w:cs="Lucida Sans"/>
          <w:b/>
          <w:bCs/>
          <w:color w:val="auto"/>
          <w:kern w:val="2"/>
          <w:sz w:val="24"/>
          <w:szCs w:val="24"/>
          <w:lang w:val="fr-FR" w:eastAsia="zh-CN" w:bidi="hi-IN"/>
        </w:rPr>
        <w:t>How Do Campaigns Matter?</w:t>
      </w:r>
      <w:r>
        <w:rPr/>
        <w:t> » : L’auteur travaille sur les questions de campagnes politiques et des effets de celles-ci sur les agents. Il conclue qu’elles ont un impact qui est de plus en plus mesurable grâce aux enquêtes qui permettent plus de méta-analyses. L’article date de 2014.</w:t>
      </w:r>
    </w:p>
    <w:p>
      <w:pPr>
        <w:pStyle w:val="Normal"/>
        <w:bidi w:val="0"/>
        <w:jc w:val="start"/>
        <w:rPr/>
      </w:pPr>
      <w:r>
        <w:rPr/>
      </w:r>
    </w:p>
    <w:p>
      <w:pPr>
        <w:pStyle w:val="Normal"/>
        <w:bidi w:val="0"/>
        <w:jc w:val="start"/>
        <w:rPr/>
      </w:pPr>
      <w:r>
        <w:rPr/>
        <w:t>- B. S. Frey : « </w:t>
      </w:r>
      <w:r>
        <w:rPr>
          <w:rFonts w:eastAsia="NSimSun" w:cs="Lucida Sans"/>
          <w:b/>
          <w:bCs/>
          <w:color w:val="auto"/>
          <w:kern w:val="2"/>
          <w:sz w:val="24"/>
          <w:szCs w:val="24"/>
          <w:lang w:val="fr-FR" w:eastAsia="zh-CN" w:bidi="hi-IN"/>
        </w:rPr>
        <w:t>How Intrinsic Motivation Is Crowded Out and In</w:t>
      </w:r>
      <w:r>
        <w:rPr/>
        <w:t> » : Dans cet article, l’auteur parle des effets de crowding in et crowding out engrangés par les politiques publiques. Il semblerait que celles-ci aient un impact sur la motivation des agents mais aussi sur leur volonté de faire des efforts. En tenant compte de ce papier, nous pouvons affirmer un lien étroit entre les politiques publiques et, à la fois, la motivation de l’agent et sa réactance. L’agent peut être pousser à faire moins d’effort, à rejoindre une cause s’il en est informé ou s’en retirer s’il a l’impression d’y être forcé. Il se pourrait aussi qu’un agent sorte du groupe acceptant l’action car il se sentait unique lorsqu’il était le seul à le faire mais lorsque tout le monde s’y mets, il préfère s’en retirer (crowding out).</w:t>
      </w:r>
    </w:p>
    <w:p>
      <w:pPr>
        <w:pStyle w:val="Normal"/>
        <w:bidi w:val="0"/>
        <w:jc w:val="start"/>
        <w:rPr/>
      </w:pPr>
      <w:r>
        <w:rPr/>
      </w:r>
    </w:p>
    <w:p>
      <w:pPr>
        <w:pStyle w:val="Normal"/>
        <w:bidi w:val="0"/>
        <w:jc w:val="start"/>
        <w:rPr/>
      </w:pPr>
      <w:r>
        <w:rPr/>
        <w:t>- R. Espinosa, J. Stoop : « </w:t>
      </w:r>
      <w:r>
        <w:rPr>
          <w:rFonts w:eastAsia="NSimSun" w:cs="Lucida Sans"/>
          <w:b/>
          <w:bCs/>
          <w:color w:val="auto"/>
          <w:kern w:val="2"/>
          <w:sz w:val="24"/>
          <w:szCs w:val="24"/>
          <w:lang w:val="fr-FR" w:eastAsia="zh-CN" w:bidi="hi-IN"/>
        </w:rPr>
        <w:t>Do People Really Want to Be Informed? Ex-ante Evaluations of Information-Campaign Effectiveness</w:t>
      </w:r>
      <w:r>
        <w:rPr/>
        <w:t> » : Dans cet article, les auteurs étudient les campagnes de sensibilisations au Royaume-Unis après des questionnaires auprès de 7000 personnes. Ils en ressortent que, bien que les agents acceptent plus facilement ce type de campagnes que des politiques publiques standard axées sur des taxes etc. il n’en reste pas moins que certains refusent l’information. Cet article nous permettrait de confirmer d’une part, l’impact des campagnes sur la motivation (bêta) mais aussi la confiance institutionnelle (T) puisqu’ils mesurent la part des agents qui refusent d’accorder de l’importance à une campagne ou qui l’a négligent volontairement car elle vient des pouvoirs publics.</w:t>
      </w:r>
    </w:p>
    <w:p>
      <w:pPr>
        <w:pStyle w:val="Normal"/>
        <w:bidi w:val="0"/>
        <w:jc w:val="start"/>
        <w:rPr/>
      </w:pPr>
      <w:r>
        <w:rPr/>
      </w:r>
    </w:p>
    <w:p>
      <w:pPr>
        <w:pStyle w:val="Normal"/>
        <w:bidi w:val="0"/>
        <w:jc w:val="start"/>
        <w:rPr/>
      </w:pPr>
      <w:r>
        <w:rPr/>
        <w:t>- R. Benabou, J. Tirole : « </w:t>
      </w:r>
      <w:r>
        <w:rPr>
          <w:rFonts w:eastAsia="NSimSun" w:cs="Lucida Sans"/>
          <w:b/>
          <w:bCs/>
          <w:color w:val="auto"/>
          <w:kern w:val="2"/>
          <w:sz w:val="24"/>
          <w:szCs w:val="24"/>
          <w:lang w:val="fr-FR" w:eastAsia="zh-CN" w:bidi="hi-IN"/>
        </w:rPr>
        <w:t>Intrinsic and Extrinsic Motivation</w:t>
      </w:r>
      <w:r>
        <w:rPr/>
        <w:t> » : Dans ce papier, les auteurs parlent des sources de motivations des agents (intrinsèques et extrinsèques). Ils notent que bien souvent, les politiques publiques ou campagnes mises en place sous estiment les capacités à prendre des décisions des agents. Ils montrent que chaque agent à une part de sa motivation qui lui est propre et qu’une autre est dépendante de son environnement (proches, altruisme, mimétisme…). On pourrait utiliser cet article pour justifier Vi0 =&gt; Intrinsèques et Vi(n) =&gt; extrinsèques.</w:t>
      </w:r>
    </w:p>
    <w:p>
      <w:pPr>
        <w:pStyle w:val="Normal"/>
        <w:bidi w:val="0"/>
        <w:jc w:val="start"/>
        <w:rPr/>
      </w:pPr>
      <w:r>
        <w:rPr/>
      </w:r>
    </w:p>
    <w:p>
      <w:pPr>
        <w:pStyle w:val="Normal"/>
        <w:bidi w:val="0"/>
        <w:jc w:val="start"/>
        <w:rPr/>
      </w:pPr>
      <w:r>
        <w:rPr/>
        <w:t>- S. Lindenberg : «</w:t>
      </w:r>
      <w:r>
        <w:rPr>
          <w:rFonts w:eastAsia="NSimSun" w:cs="Lucida Sans"/>
          <w:b/>
          <w:bCs/>
          <w:color w:val="auto"/>
          <w:kern w:val="2"/>
          <w:sz w:val="24"/>
          <w:szCs w:val="24"/>
          <w:lang w:val="fr-FR" w:eastAsia="zh-CN" w:bidi="hi-IN"/>
        </w:rPr>
        <w:t> Intrinsic Motivation in a New Light</w:t>
      </w:r>
      <w:r>
        <w:rPr/>
        <w:t> » : première phrase bien sentie : « Extra rewards will increase and extra costs will decrease the frequency of a particular type of behavior. ». Cet article parle des avancées sur la question des motivations intrinsèques dans la psychologie et les sciences sociales. L’auteur parle surtout des effets du framing comme « tendance » dans ce domaine. Il mentionne aussi les éléments intrinsèques tel que le bonheur retiré d’une action, le bien être retiré etc. Cela vient plus ou moins justifier le fait que chaque individu a bien une motivation propre de base qui dépend de sa perception d’une action (donc de ce qu’une politique publique ou une campagne) peut lui apporter. (n et bêta).</w:t>
      </w:r>
    </w:p>
    <w:p>
      <w:pPr>
        <w:pStyle w:val="Normal"/>
        <w:bidi w:val="0"/>
        <w:jc w:val="start"/>
        <w:rPr/>
      </w:pPr>
      <w:r>
        <w:rPr/>
      </w:r>
    </w:p>
    <w:p>
      <w:pPr>
        <w:pStyle w:val="Normal"/>
        <w:bidi w:val="0"/>
        <w:jc w:val="start"/>
        <w:rPr/>
      </w:pPr>
      <w:r>
        <w:rPr/>
        <w:t>- H. Lee, D. Albarracin : « </w:t>
      </w:r>
      <w:r>
        <w:rPr>
          <w:b/>
          <w:bCs/>
        </w:rPr>
        <w:t>Changing beliefs or changing behavior? Understanding the belief-to-behavior process and intervening to curb the impact of misinformation</w:t>
      </w:r>
      <w:r>
        <w:rPr/>
        <w:t> » : Dans cet article, on apprend que les comportements peuvent être guidés par les croyances des agents. Qu’en fonction des questions et des campagnes mises en place, on peut influencer les croyances pour ensuite influencer les comportements. Ce que j’en retire pour mes travaux est simplement que Vi0 est dépendant des croyances de chaque individu (donc peut suivre une loi normale) mais qu’en revanche, l’impact des croyances sur le comportement et l’effet des politiques publiques sur celles-ci est représenté dans Vi(n) par bêta et delta.</w:t>
      </w:r>
    </w:p>
    <w:p>
      <w:pPr>
        <w:pStyle w:val="Normal"/>
        <w:bidi w:val="0"/>
        <w:jc w:val="start"/>
        <w:rPr/>
      </w:pPr>
      <w:r>
        <w:rPr/>
      </w:r>
    </w:p>
    <w:p>
      <w:pPr>
        <w:pStyle w:val="Normal"/>
        <w:bidi w:val="0"/>
        <w:jc w:val="start"/>
        <w:rPr/>
      </w:pPr>
      <w:r>
        <w:rPr/>
        <w:t>- A. Blackman, B. Hoffmann : « </w:t>
      </w:r>
      <w:r>
        <w:rPr>
          <w:b/>
          <w:bCs/>
        </w:rPr>
        <w:t>Diminishing returns: Nudging Covid-19 prevention among Colombian young adults</w:t>
      </w:r>
      <w:r>
        <w:rPr/>
        <w:t> » : Dans cette étude menée sur des étudiants colombien pendant la crise du COVID 19, les auteurs ont cherché à mesurer l’impact des campagnes (nudges) de sensibilisation sur les gestes barrières et la part des personnes qui les suivent en fonction de différents critère. Ce que je retiens c’est surtout qu’il existe un effet sur la durée. Plus une campagne est martelée longtemps plus l’impact sera visible mais au bout d’un moment, il arrive qu’une partie s’accommode de ces messages et ne suivent plus les recommandations. Ils précisent aussi, que les étudiants affichés à gauche politiquement étaient plus à même de poursuivre les recommandations que les autres.</w:t>
      </w:r>
    </w:p>
    <w:p>
      <w:pPr>
        <w:pStyle w:val="Normal"/>
        <w:bidi w:val="0"/>
        <w:jc w:val="start"/>
        <w:rPr/>
      </w:pPr>
      <w:r>
        <w:rPr/>
      </w:r>
    </w:p>
    <w:p>
      <w:pPr>
        <w:pStyle w:val="Normal"/>
        <w:bidi w:val="0"/>
        <w:jc w:val="start"/>
        <w:rPr/>
      </w:pPr>
      <w:r>
        <w:rPr/>
        <w:t>- D. M. Kreps :  « </w:t>
      </w:r>
      <w:r>
        <w:rPr>
          <w:b/>
          <w:bCs/>
        </w:rPr>
        <w:t>Intrinsic Motivation and Extrinsic Incentives</w:t>
      </w:r>
      <w:r>
        <w:rPr/>
        <w:t> » : Dans cet article, l’auteur parle des motivations intrinsèques et des incitations extrinsèques dans le cadre du travail. Il défini la motivation intrinsèque comme un ensemble de raisons qui poussent l’individu à agir sans avoir forcément eu de coup de pousse externe. Par exemple, le salaire est une incitation tandis que avoir l’estime de ses collègues est une raison de motivation. Les incitations ont pour but, selon l’auteur, de diminuer au maximum les efforts à faire pour les agents. Il parle aussi des modèles de l’agence pour justifier cela. Ce qu’on retiendra pour mon modèle c’est surtout la notion d’incitation externe qui vient modifier la motivation. Vi0 reste la motivation intrinsèque tandis que DeltaV et l’ensemble de l’expression de Vi(n) ressemble plus aux modifications apportées par une politique publique et des éléments externes.</w:t>
      </w:r>
    </w:p>
    <w:p>
      <w:pPr>
        <w:pStyle w:val="Normal"/>
        <w:bidi w:val="0"/>
        <w:jc w:val="start"/>
        <w:rPr/>
      </w:pPr>
      <w:r>
        <w:rPr/>
      </w:r>
    </w:p>
    <w:p>
      <w:pPr>
        <w:pStyle w:val="Normal"/>
        <w:bidi w:val="0"/>
        <w:jc w:val="start"/>
        <w:rPr/>
      </w:pPr>
      <w:r>
        <w:rPr/>
        <w:t>- J. Sobel : « </w:t>
      </w:r>
      <w:r>
        <w:rPr>
          <w:b/>
          <w:bCs/>
        </w:rPr>
        <w:t>Economists' Models of Learning </w:t>
      </w:r>
      <w:r>
        <w:rPr/>
        <w:t>» : Dans cet article, il est question des modèles d’apprentissage en économie sur les agents. L’auteur rappelle que dans la plupart des cas, les agents sont considérés avec des préférences suivant une loi de Bayes. ET qu’ensuite, en fonction de leur environnement et des informations à disposition, ils apprennent pour ajuster leurs décisions. Cependant, il note bien la nécessiter de préciser les préférences de bases des agents avant toutes modification liée à un apprentissage. Dans notre cas, la campagne elle même constitue une forme d’apprentissage. On est à la fois sur le modèle statique avec l’existence de Vi(n) mais aussi, sur l’évolution vers un modèle dynamique. J’ai peur que notre approche statique propose une vision ambiguë embarquant à la fois les croyances et motivations en t0 des agents et aussi en t1 avec les informations des campagnes/politiques publiques.</w:t>
      </w:r>
    </w:p>
    <w:p>
      <w:pPr>
        <w:pStyle w:val="Normal"/>
        <w:bidi w:val="0"/>
        <w:jc w:val="start"/>
        <w:rPr/>
      </w:pPr>
      <w:r>
        <w:rPr/>
      </w:r>
    </w:p>
    <w:p>
      <w:pPr>
        <w:pStyle w:val="Normal"/>
        <w:bidi w:val="0"/>
        <w:jc w:val="start"/>
        <w:rPr/>
      </w:pPr>
      <w:r>
        <w:rPr/>
        <w:t>- D. Ticu : « </w:t>
      </w:r>
      <w:r>
        <w:rPr>
          <w:b/>
          <w:bCs/>
        </w:rPr>
        <w:t>Theories of Motivation in Public Policies Process</w:t>
      </w:r>
      <w:r>
        <w:rPr/>
        <w:t> » : Dans cet article, il est plus question du decision-maker que des individus. Cependant, il est mentionné qu’il est important de connaître le canal par lequel les agents seront influencés pour optimiser sa campagnes/politique publique. Autrement dit, des politiques publiques visant les motivations intrinsèques des agents seront plus adaptées à certaines situation tandis que d’autres, plus axées sur les incitations extrinsèques seront plus optimales dans d’autres situations. On a rien de spécial pour notre modèle mais une justification de l’intérêt de distinguer motivation intrinsèque et effets des incitations extrinsèques.</w:t>
      </w:r>
    </w:p>
    <w:p>
      <w:pPr>
        <w:pStyle w:val="Normal"/>
        <w:bidi w:val="0"/>
        <w:jc w:val="start"/>
        <w:rPr/>
      </w:pPr>
      <w:r>
        <w:rPr/>
      </w:r>
    </w:p>
    <w:p>
      <w:pPr>
        <w:pStyle w:val="Normal"/>
        <w:bidi w:val="0"/>
        <w:jc w:val="start"/>
        <w:rPr/>
      </w:pPr>
      <w:r>
        <w:rPr/>
        <w:t>- M. A. Wakefield, B. Loken, R. C. Hornick : « </w:t>
      </w:r>
      <w:r>
        <w:rPr>
          <w:b/>
          <w:bCs/>
        </w:rPr>
        <w:t>Use of mass media campaigns to change health behaviour</w:t>
      </w:r>
      <w:r>
        <w:rPr/>
        <w:t> » : Un article au titre très vendeur mais qui finalement n’apportera pas grand-chose car il fait simplement un tour d’horizon des campagnes de sensibilisations dans la santé en Australie. Les auteurs concluent simplement que ces campagnes ont permis de limiter les comportements négatifs et parfois, ont permis d’entraîner des comportements positifs. Ils prouvent une fois de plus, la pertinence des campagnes et l’importance du framing et des canaux de communication.</w:t>
      </w:r>
    </w:p>
    <w:p>
      <w:pPr>
        <w:pStyle w:val="Normal"/>
        <w:bidi w:val="0"/>
        <w:jc w:val="start"/>
        <w:rPr/>
      </w:pPr>
      <w:r>
        <w:rPr/>
      </w:r>
    </w:p>
    <w:p>
      <w:pPr>
        <w:pStyle w:val="Normal"/>
        <w:bidi w:val="0"/>
        <w:jc w:val="start"/>
        <w:rPr/>
      </w:pPr>
      <w:r>
        <w:rPr/>
        <w:t>- T. Kube, M. Wullenkord, L. Rozenkrantz, P. Kramer, S. Lieb, C. Menzel : « </w:t>
      </w:r>
      <w:r>
        <w:rPr>
          <w:b/>
          <w:bCs/>
        </w:rPr>
        <w:t>How people update their beliefs about climate change: An experimental investigation of the optimistic update bias and how to reduce it</w:t>
      </w:r>
      <w:r>
        <w:rPr/>
        <w:t> » : Dans cet article, les auteurs étudient sur une population test, l’impact d’une campagne sur le changement climatique afin de modéliser la manière dont les gens apprennent. Ils en ressortent que ‘dune manière générale, les campagnes influencent beaucoup les opinions mais surtout que (dans le cas du changement climatique) les individus semblent plus réceptifs aux mauvais nouvelles qu’aux bonnes. Ils enregistrent plus facilement des contenus pessimistes que des nouvelles optimistes. Pour mon travail, je n’y vois pas encore forcément d’intérêt mais c’est sympa à savoir.</w:t>
      </w:r>
    </w:p>
    <w:p>
      <w:pPr>
        <w:pStyle w:val="Normal"/>
        <w:bidi w:val="0"/>
        <w:jc w:val="start"/>
        <w:rPr/>
      </w:pPr>
      <w:r>
        <w:rPr/>
      </w:r>
    </w:p>
    <w:p>
      <w:pPr>
        <w:pStyle w:val="Normal"/>
        <w:bidi w:val="0"/>
        <w:jc w:val="start"/>
        <w:rPr/>
      </w:pPr>
      <w:r>
        <w:rPr/>
        <w:t xml:space="preserve">- </w:t>
      </w:r>
      <w:r>
        <w:rPr/>
        <w:t>I. Vlaev, D. King, A. Darzi, P. Dolan : « </w:t>
      </w:r>
      <w:r>
        <w:rPr>
          <w:b/>
          <w:bCs/>
        </w:rPr>
        <w:t>Changing health behaviors using financial incentives: a review from behavioral economics</w:t>
      </w:r>
      <w:r>
        <w:rPr/>
        <w:t xml:space="preserve"> » : </w:t>
      </w:r>
      <w:r>
        <w:rPr/>
        <w:t>Cet article est une revue de tout ce qui se fait en matière d’incitation financière dans les politiques publiques de santé visant à améliorer les comportements. Ils en concluent simplement que les effets de ces incitations existent et qu’ils diffèrent en fonction du type de politique publique.</w:t>
      </w:r>
    </w:p>
    <w:p>
      <w:pPr>
        <w:pStyle w:val="Normal"/>
        <w:bidi w:val="0"/>
        <w:jc w:val="start"/>
        <w:rPr/>
      </w:pPr>
      <w:r>
        <w:rPr/>
      </w:r>
    </w:p>
    <w:p>
      <w:pPr>
        <w:pStyle w:val="Normal"/>
        <w:bidi w:val="0"/>
        <w:jc w:val="start"/>
        <w:rPr/>
      </w:pPr>
      <w:r>
        <w:rPr/>
        <w:t xml:space="preserve">- </w:t>
      </w:r>
      <w:r>
        <w:rPr/>
        <w:t>C. Semken : « </w:t>
      </w:r>
      <w:r>
        <w:rPr>
          <w:b/>
          <w:bCs/>
        </w:rPr>
        <w:t>The Marginal Impact of Emission Reductions: Estimates, Beliefs and Behavior</w:t>
      </w:r>
      <w:r>
        <w:rPr/>
        <w:t xml:space="preserve"> » : </w:t>
      </w:r>
      <w:r>
        <w:rPr/>
        <w:t>Dans cet article, l’auteur étudie comment les politiques publiques sur l’environnement sont perçues par les gens. Il montre que ces derniers ont parfois une mécompréhension du problème tant les directives et les chiffres données sont complexes. Il continu en travaillant sur un modèle qui montre concrètement les impacts sur l’environnement d’une baisse de consommation forte de tout le monde. Dans ce travail, il montre aussi à quel point, un individu seul ne peut pas prendre conscience de l’impact d’une mesure prise par tout le monde. Ainsi, pour mon travail, cet article me permet de dire que chaque type de politique publique a un impact différent et que leur complexité à se les représenter peut entraîner une baisse d’adoption dans la population. Donc bêta peut être un paramètre égal pour tous les agents.</w:t>
      </w:r>
    </w:p>
    <w:p>
      <w:pPr>
        <w:pStyle w:val="Normal"/>
        <w:bidi w:val="0"/>
        <w:jc w:val="start"/>
        <w:rPr/>
      </w:pPr>
      <w:r>
        <w:rPr/>
      </w:r>
    </w:p>
    <w:p>
      <w:pPr>
        <w:pStyle w:val="Normal"/>
        <w:bidi w:val="0"/>
        <w:jc w:val="start"/>
        <w:rPr/>
      </w:pPr>
      <w:r>
        <w:rPr/>
        <w:t xml:space="preserve">- </w:t>
      </w:r>
      <w:r>
        <w:rPr/>
        <w:t>B. E. Wright, R. K. Christensen : « </w:t>
      </w:r>
      <w:r>
        <w:rPr>
          <w:b/>
          <w:bCs/>
        </w:rPr>
        <w:t>Additional intervention evidence on the relationship between public service motivation and ethical behavior</w:t>
      </w:r>
      <w:r>
        <w:rPr/>
        <w:t xml:space="preserve"> » : </w:t>
      </w:r>
      <w:r>
        <w:rPr/>
        <w:t>Dans cet article, les auteurs indiquent ne rien trouver. Ils ont étudier les interventions prosociales visant à entraîner des comportements vertueux mais n’ont pas trouver de raisons significatives qui poussent les agents à suivre ces indications. En réalité, ils n’ont pas réussi à écarté l’impact de l’intervention (via une politique) du comportement intrinsèque de l’agent. Celui ci a peut-être déjà fait son choix d’adopter ou non un comportement prosocial sans que l’action publique ne l’influence. Dans mon cas, cela pourrait correspondre à des situations extrêmes dans lesquelles l’impact ou l’intensité perçue d’une politique publique est nulle ou proche de 0. Ainsi, seule la motivation intrinsèque joue un rôle sur la prise de décision. Donc si n → 0 alors ΔV(1−e</w:t>
      </w:r>
      <w:r>
        <w:rPr>
          <w:vertAlign w:val="superscript"/>
        </w:rPr>
        <w:t>−βnT</w:t>
      </w:r>
      <w:r>
        <w:rPr/>
        <w:t>) → 0 aussi. Donc cette expression fonctionne.</w:t>
      </w:r>
    </w:p>
    <w:p>
      <w:pPr>
        <w:pStyle w:val="Normal"/>
        <w:bidi w:val="0"/>
        <w:jc w:val="start"/>
        <w:rPr/>
      </w:pPr>
      <w:r>
        <w:rPr/>
      </w:r>
    </w:p>
    <w:p>
      <w:pPr>
        <w:pStyle w:val="Normal"/>
        <w:bidi w:val="0"/>
        <w:jc w:val="start"/>
        <w:rPr/>
      </w:pPr>
      <w:r>
        <w:rPr/>
        <w:t xml:space="preserve">- </w:t>
      </w:r>
      <w:r>
        <w:rPr/>
        <w:t>H. S. James Jr : « </w:t>
      </w:r>
      <w:r>
        <w:rPr>
          <w:b/>
          <w:bCs/>
        </w:rPr>
        <w:t>Why Did You Do That? An Economic Examination of the Effect of Extrinsic Compensation on Intrinsic Motivation and Performance</w:t>
      </w:r>
      <w:r>
        <w:rPr/>
        <w:t xml:space="preserve"> » : </w:t>
      </w:r>
      <w:r>
        <w:rPr/>
        <w:t>Dans cet article, l’auteur parle de l’impact des compensations sur la motivation intrinsèque. Il dit que, s’il est prouver que les compensations financières peuvent avoir un effet de crowding out sur la motivation intrinsèque, en revanche, des compensations symboliques peuvent améliorer l’effort effectué par un agent (grâce à la reconnaissance par exemple). Autrement dit, l’intensité d’une politique publique/campagne peut avoir un effet négatif si elle est perçue comme une tentative de contrôle trop fort (donc un n élevé). Dans mon modèle, cela se matérialise par la réactance (n augmente et la réactance suit) par contre l’impact d’un n plus faible doit se faire ressentir sur Vi(n) sensiblement plus que dans la réactance. Toutefois, comme l’article précédent le suggère, lorsque n est trop bas, alors Vi(n) = Vi</w:t>
      </w:r>
      <w:r>
        <w:rPr>
          <w:vertAlign w:val="superscript"/>
        </w:rPr>
        <w:t>0</w:t>
      </w:r>
      <w:r>
        <w:rPr/>
        <w:t>.</w:t>
      </w:r>
    </w:p>
    <w:p>
      <w:pPr>
        <w:pStyle w:val="Normal"/>
        <w:bidi w:val="0"/>
        <w:jc w:val="start"/>
        <w:rPr/>
      </w:pPr>
      <w:r>
        <w:rPr/>
      </w:r>
    </w:p>
    <w:p>
      <w:pPr>
        <w:pStyle w:val="Normal"/>
        <w:bidi w:val="0"/>
        <w:jc w:val="start"/>
        <w:rPr/>
      </w:pPr>
      <w:r>
        <w:rPr/>
        <w:t>- P. Dworczak, G. Martini : « </w:t>
      </w:r>
      <w:r>
        <w:rPr>
          <w:b/>
          <w:bCs/>
        </w:rPr>
        <w:t>The Simple Economics of Optimal Persuasion</w:t>
      </w:r>
      <w:r>
        <w:rPr/>
        <w:t xml:space="preserve"> » : </w:t>
      </w:r>
      <w:r>
        <w:rPr/>
        <w:t>Alors, pas sûr que cet article m’apporte grand-chose puisqu’il a l’air de parler de la fixation des prix dans un monde dynamique entre un vendeur et un consommateur en fonction des précédents échanges. Cependant, dans l’état initial des choses, sans connaissances des préférences des consommateurs, le vendeur semble devoir suivre un modèle bayésien pour fixer son prix et estimer ses ventes. Cela me pousse à croire que le modèle bayésien est peut-être la meilleure solution pour estimer Vi</w:t>
      </w:r>
      <w:r>
        <w:rPr>
          <w:vertAlign w:val="superscript"/>
        </w:rPr>
        <w:t>0</w:t>
      </w:r>
      <w:r>
        <w:rPr/>
        <w:t xml:space="preserve"> dans mon modèle puisqu’il correspond à l’état de l’agent avant toutes informations.</w:t>
      </w:r>
    </w:p>
    <w:p>
      <w:pPr>
        <w:pStyle w:val="Normal"/>
        <w:bidi w:val="0"/>
        <w:jc w:val="start"/>
        <w:rPr/>
      </w:pPr>
      <w:r>
        <w:rPr/>
      </w:r>
    </w:p>
    <w:p>
      <w:pPr>
        <w:pStyle w:val="Normal"/>
        <w:bidi w:val="0"/>
        <w:jc w:val="start"/>
        <w:rPr/>
      </w:pPr>
      <w:r>
        <w:rPr/>
        <w:t xml:space="preserve">- </w:t>
      </w:r>
      <w:r>
        <w:rPr/>
        <w:t>K. Underhill : « </w:t>
      </w:r>
      <w:r>
        <w:rPr>
          <w:b/>
          <w:bCs/>
        </w:rPr>
        <w:t>When Extrinsic Incentives Displace Intrinsic Motivation: Designing Legal Carrots and Sticks to Confront the Challenge of Motivational CrowdingOut</w:t>
      </w:r>
      <w:r>
        <w:rPr/>
        <w:t xml:space="preserve">  » : </w:t>
      </w:r>
      <w:r>
        <w:rPr/>
        <w:t>Dans cet article l’auteur recense les raisons du crowding out dans une société de plus en plus tournée vers des mécanismes d’incitation doux. Elle conclue en précisant que l’hétérogénéité même de la population pouvait expliquer en grande partie les différentes raisons qui pousse les agents à diminuer leur motivations intrinsèques suite à la mise en place d’une campagne. Ce que je garde pour mon travail c’est une fois de plus la notion de crowding out qui doit être représentée dans Vi(n) afin qu’une campagne ait un effet sur les motivations intrinsèques des agents. En d’autres termes Vi(n) peut stagner ou augmenter avec n mais sans que les deux membres de l’expression augmentent. Par exemple, avec n plus fort ce serait ΔV(1−e</w:t>
      </w:r>
      <w:r>
        <w:rPr>
          <w:vertAlign w:val="superscript"/>
        </w:rPr>
        <w:t>−βnT</w:t>
      </w:r>
      <w:r>
        <w:rPr/>
        <w:t>) qui augmenterai mais Vi</w:t>
      </w:r>
      <w:r>
        <w:rPr>
          <w:vertAlign w:val="superscript"/>
        </w:rPr>
        <w:t>0</w:t>
      </w:r>
      <w:r>
        <w:rPr/>
        <w:t xml:space="preserve"> lui diminuerait. Cependant, j’ai peur que cela soit déjà capter dans l’expression de la réactance avec la réduction des coûts : c−ϕ(n).</w:t>
      </w:r>
    </w:p>
    <w:p>
      <w:pPr>
        <w:pStyle w:val="Normal"/>
        <w:bidi w:val="0"/>
        <w:jc w:val="start"/>
        <w:rPr/>
      </w:pPr>
      <w:r>
        <w:rPr/>
      </w:r>
    </w:p>
    <w:p>
      <w:pPr>
        <w:pStyle w:val="Normal"/>
        <w:bidi w:val="0"/>
        <w:jc w:val="start"/>
        <w:rPr/>
      </w:pPr>
      <w:r>
        <w:rPr/>
        <w:t>- S. Della Vigna, M. Gentzkow : « </w:t>
      </w:r>
      <w:r>
        <w:rPr>
          <w:b/>
          <w:bCs/>
        </w:rPr>
        <w:t>PERSUASION: EMPIRICAL EVIDENCE</w:t>
      </w:r>
      <w:r>
        <w:rPr/>
        <w:t xml:space="preserve"> » </w:t>
      </w:r>
      <w:r>
        <w:rPr/>
        <w:t>(WP) : Dans ce working paper, les auteurs étudient comment les campagnes de persuasions sont perçues par les agents et ce qui les rends efficaces. Ils concluent en précisant que les résultats sont meilleurs lorsque les campagnes portent sur les sujets comme le don, le vote que lorsqu’il s’agit de consommation. Ils avancent aussi que les messages sont mieux perçus s’ils sont compréhensibles et destinés aux agents individuellement. De manière optimale, il faudrait s’adresser verbalement à chaque personne de visu. Enfin, ils précisent que dans les travaux actuels il manque de recherche sur la manière dont sont perçues les campagnes par les agents et comment ils les intègrent (sûrement en volume et pas à partir de questionnaires) et ils déplorent le manque de travaux sur la compétition entre émetteurs de ces campagnes. Ce working paper peut rester intéressant pour justifier de l’existence de mon modèle mais aussi sur la présence de bêta et n qui modélisent la perception des agents de la politique publique/campagne.</w:t>
      </w:r>
    </w:p>
    <w:p>
      <w:pPr>
        <w:pStyle w:val="Normal"/>
        <w:bidi w:val="0"/>
        <w:jc w:val="start"/>
        <w:rPr/>
      </w:pPr>
      <w:r>
        <w:rPr/>
      </w:r>
    </w:p>
    <w:p>
      <w:pPr>
        <w:pStyle w:val="Normal"/>
        <w:bidi w:val="0"/>
        <w:jc w:val="start"/>
        <w:rPr/>
      </w:pPr>
      <w:r>
        <w:rPr/>
        <w:t xml:space="preserve">- </w:t>
      </w:r>
      <w:r>
        <w:rPr/>
        <w:t>B. S. Frey, R. Jengen : « </w:t>
      </w:r>
      <w:r>
        <w:rPr>
          <w:b/>
          <w:bCs/>
        </w:rPr>
        <w:t>MOTIVATION CROWDING THEORY: A SURVEY OF EMPIRICAL EVIDENCE</w:t>
      </w:r>
      <w:r>
        <w:rPr/>
        <w:t> » </w:t>
      </w:r>
      <w:r>
        <w:rPr/>
        <w:t>(WP) : Ce working paper de 2000 relate les différentes sources parlant des effets de crowding sur les agents. Les auteurs mentionnent les incitations et leurs impacts sur les motivations des agents. Quoi qu’il en soit il ne s’agit que d’un working paper qui date un peu et surtout, entre temps, Tirole et Bénabou ont bien complétés les travaux sur le crowding out je crois. Il ne sera pas utile de réutiliser cet article.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fr-FR" w:eastAsia="zh-CN" w:bidi="hi-IN"/>
    </w:rPr>
  </w:style>
  <w:style w:type="paragraph" w:styleId="Heading3">
    <w:name w:val="heading 3"/>
    <w:basedOn w:val="Titre"/>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369</TotalTime>
  <Application>LibreOffice/24.8.0.3$Windows_X86_64 LibreOffice_project/0bdf1299c94fe897b119f97f3c613e9dca6be583</Application>
  <AppVersion>15.0000</AppVersion>
  <Pages>8</Pages>
  <Words>4090</Words>
  <Characters>22265</Characters>
  <CharactersWithSpaces>26313</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2026-08-02T16:20:17Z</dcterms:created>
  <dc:creator/>
  <dc:description/>
  <dc:language>fr-FR</dc:language>
  <cp:lastModifiedBy/>
  <dcterms:modified xsi:type="dcterms:W3CDTF">2026-08-05T15:25:28Z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