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Résumé : </w:t>
      </w:r>
    </w:p>
    <w:p>
      <w:pPr>
        <w:pStyle w:val="Heading3"/>
        <w:bidi w:val="0"/>
        <w:jc w:val="start"/>
        <w:rPr/>
      </w:pPr>
      <w:r>
        <w:rPr/>
        <w:t>Synthèse de la revue de littérature — Réactance, confiance, hétérogénéité et adoption</w:t>
      </w:r>
    </w:p>
    <w:p>
      <w:pPr>
        <w:pStyle w:val="BodyText"/>
        <w:rPr/>
      </w:pPr>
      <w:r>
        <w:rPr/>
        <w:t xml:space="preserve">La littérature parcourue fait apparaître plusieurs ensembles de travaux qui se rejoignent autour d’une idée centrale pour le projet : </w:t>
      </w:r>
      <w:r>
        <w:rPr>
          <w:rStyle w:val="Strong"/>
        </w:rPr>
        <w:t>l’adoption d’une politique publique ne dépend pas uniquement de ses bénéfices matériels, mais aussi de la manière dont elle est perçue par des agents aux préférences hétérogènes</w:t>
      </w:r>
      <w:r>
        <w:rPr/>
        <w:t>.</w:t>
      </w:r>
    </w:p>
    <w:p>
      <w:pPr>
        <w:pStyle w:val="BodyText"/>
        <w:rPr/>
      </w:pPr>
      <w:r>
        <w:rPr/>
        <w:t xml:space="preserve">Le premier ensemble concerne la </w:t>
      </w:r>
      <w:r>
        <w:rPr>
          <w:rStyle w:val="Strong"/>
        </w:rPr>
        <w:t>réactance psychologique</w:t>
      </w:r>
      <w:r>
        <w:rPr/>
        <w:t xml:space="preserve">, notion introduite par </w:t>
      </w:r>
      <w:r>
        <w:rPr>
          <w:rStyle w:val="Strong"/>
        </w:rPr>
        <w:t>Jack Brehm</w:t>
      </w:r>
      <w:r>
        <w:rPr/>
        <w:t xml:space="preserve"> et largement développée depuis en psychologie. Les travaux de </w:t>
      </w:r>
      <w:r>
        <w:rPr>
          <w:rStyle w:val="Strong"/>
        </w:rPr>
        <w:t>Burgoon et al.</w:t>
      </w:r>
      <w:r>
        <w:rPr/>
        <w:t xml:space="preserve">, ainsi que la revue de </w:t>
      </w:r>
      <w:r>
        <w:rPr>
          <w:rStyle w:val="Strong"/>
        </w:rPr>
        <w:t>Rosenberg et Siegel</w:t>
      </w:r>
      <w:r>
        <w:rPr/>
        <w:t xml:space="preserve">, montrent que la réactance constitue un phénomène étudié depuis plusieurs décennies, notamment à travers des questionnaires, des expériences et des dispositifs cliniques. </w:t>
      </w:r>
      <w:r>
        <w:rPr>
          <w:rStyle w:val="Strong"/>
        </w:rPr>
        <w:t>Pavey et Sparks</w:t>
      </w:r>
      <w:r>
        <w:rPr/>
        <w:t xml:space="preserve"> confirment expérimentalement l’existence de réactions liées à la perception d’une menace sur la liberté individuelle. Cette littérature est cependant principalement psychologique et expérimentale : la revue réalisée ne fait pas apparaître de </w:t>
      </w:r>
      <w:r>
        <w:rPr>
          <w:rStyle w:val="Strong"/>
        </w:rPr>
        <w:t>formalisation économique intégrant explicitement la réactance dans une fonction d’utilité</w:t>
      </w:r>
      <w:r>
        <w:rPr/>
        <w:t>. C’est précisément ce qui semble laisser un espace pour le projet.</w:t>
      </w:r>
    </w:p>
    <w:p>
      <w:pPr>
        <w:pStyle w:val="BodyText"/>
        <w:rPr/>
      </w:pPr>
      <w:r>
        <w:rPr/>
        <w:t xml:space="preserve">Les travaux de </w:t>
      </w:r>
      <w:r>
        <w:rPr>
          <w:rStyle w:val="Strong"/>
        </w:rPr>
        <w:t>Bruns et Perino</w:t>
      </w:r>
      <w:r>
        <w:rPr/>
        <w:t xml:space="preserve"> sont particulièrement intéressants car ils rapprochent directement réactance et </w:t>
      </w:r>
      <w:r>
        <w:rPr>
          <w:rStyle w:val="Strong"/>
        </w:rPr>
        <w:t>nudges</w:t>
      </w:r>
      <w:r>
        <w:rPr/>
        <w:t xml:space="preserve">. Leur comparaison entre défauts, recommandations et obligations montre que la forme d’une intervention influence la perception de son caractère intrusif ou menaçant. </w:t>
      </w:r>
      <w:r>
        <w:rPr>
          <w:rStyle w:val="Strong"/>
        </w:rPr>
        <w:t>Proudfoot et Kay</w:t>
      </w:r>
      <w:r>
        <w:rPr/>
        <w:t xml:space="preserve"> prolongent cette réflexion au niveau des politiques publiques et montrent que la réaction à une intervention dépend également de la manière dont celle-ci est conçue et perçue. </w:t>
      </w:r>
      <w:r>
        <w:rPr>
          <w:rStyle w:val="Strong"/>
        </w:rPr>
        <w:t>Granulo, Fuchs et Böhm</w:t>
      </w:r>
      <w:r>
        <w:rPr/>
        <w:t xml:space="preserve"> ajoutent une dimension temporelle et contextuelle : la perception d’une politique peut évoluer selon son degré d’intégration préalable dans le débat public. Enfin, </w:t>
      </w:r>
      <w:r>
        <w:rPr>
          <w:rStyle w:val="Strong"/>
        </w:rPr>
        <w:t>Bolton, Dimant et Schmidt</w:t>
      </w:r>
      <w:r>
        <w:rPr/>
        <w:t xml:space="preserve"> montrent, à travers une fonction d’utilité intégrant notamment les motivations sociales et les sanctions, qu’une intervention peut produire un </w:t>
      </w:r>
      <w:r>
        <w:rPr>
          <w:rStyle w:val="Strong"/>
        </w:rPr>
        <w:t>effet de retour de bâton</w:t>
      </w:r>
      <w:r>
        <w:rPr/>
        <w:t xml:space="preserve"> et modifier les comportements qu’elle cherche précisément à encourager.</w:t>
      </w:r>
    </w:p>
    <w:p>
      <w:pPr>
        <w:pStyle w:val="BodyText"/>
        <w:rPr/>
      </w:pPr>
      <w:r>
        <w:rPr/>
        <w:t xml:space="preserve">Un deuxième ensemble de travaux concerne la </w:t>
      </w:r>
      <w:r>
        <w:rPr>
          <w:rStyle w:val="Strong"/>
        </w:rPr>
        <w:t>confiance institutionnelle</w:t>
      </w:r>
      <w:r>
        <w:rPr/>
        <w:t xml:space="preserve">. </w:t>
      </w:r>
      <w:r>
        <w:rPr>
          <w:rStyle w:val="Strong"/>
        </w:rPr>
        <w:t>Knack et Zak</w:t>
      </w:r>
      <w:r>
        <w:rPr/>
        <w:t xml:space="preserve"> mettent en évidence l’importance de la confiance et des conditions institutionnelles dans l’acceptation des politiques publiques. </w:t>
      </w:r>
      <w:r>
        <w:rPr>
          <w:rStyle w:val="Strong"/>
        </w:rPr>
        <w:t>Alm</w:t>
      </w:r>
      <w:r>
        <w:rPr/>
        <w:t xml:space="preserve">, notamment à propos de la vaccination, insiste sur le caractère dynamique de cette confiance : elle se construit dans le temps et ne peut pas être considérée comme un simple paramètre instantané. </w:t>
      </w:r>
      <w:r>
        <w:rPr>
          <w:rStyle w:val="Strong"/>
        </w:rPr>
        <w:t>Mitaszewicz</w:t>
      </w:r>
      <w:r>
        <w:rPr/>
        <w:t xml:space="preserve"> trouve également une relation entre confiance dans les institutions et acceptation des instruments comportementaux, avec une relation qui ne semble pas nécessairement linéaire. Ces travaux donnent donc un intérêt particulier à l’introduction de la confiance institutionnelle dans le modèle, notamment comme facteur susceptible de modifier la perception de l’intervention et donc l’intensité de la réactance.</w:t>
      </w:r>
    </w:p>
    <w:p>
      <w:pPr>
        <w:pStyle w:val="BodyText"/>
        <w:rPr/>
      </w:pPr>
      <w:r>
        <w:rPr/>
        <w:t xml:space="preserve">Un troisième ensemble porte sur </w:t>
      </w:r>
      <w:r>
        <w:rPr>
          <w:rStyle w:val="Strong"/>
        </w:rPr>
        <w:t>l’hétérogénéité des agents et l’adoption</w:t>
      </w:r>
      <w:r>
        <w:rPr/>
        <w:t xml:space="preserve">. Les travaux de </w:t>
      </w:r>
      <w:r>
        <w:rPr>
          <w:rStyle w:val="Strong"/>
        </w:rPr>
        <w:t>Chen et Ma</w:t>
      </w:r>
      <w:r>
        <w:rPr/>
        <w:t xml:space="preserve">, </w:t>
      </w:r>
      <w:r>
        <w:rPr>
          <w:rStyle w:val="Strong"/>
        </w:rPr>
        <w:t>Mercure et al.</w:t>
      </w:r>
      <w:r>
        <w:rPr/>
        <w:t xml:space="preserve">, </w:t>
      </w:r>
      <w:r>
        <w:rPr>
          <w:rStyle w:val="Strong"/>
        </w:rPr>
        <w:t>Erlei</w:t>
      </w:r>
      <w:r>
        <w:rPr/>
        <w:t xml:space="preserve"> et </w:t>
      </w:r>
      <w:r>
        <w:rPr>
          <w:rStyle w:val="Strong"/>
        </w:rPr>
        <w:t>Mudekereza</w:t>
      </w:r>
      <w:r>
        <w:rPr/>
        <w:t xml:space="preserve"> montrent différentes manières de représenter des populations composées d’agents ayant des préférences et des comportements différents. Ils confortent l’idée qu’il est pertinent de ne pas considérer la population comme un agent représentatif unique. </w:t>
      </w:r>
      <w:r>
        <w:rPr>
          <w:rStyle w:val="Strong"/>
        </w:rPr>
        <w:t>Neary et Newton</w:t>
      </w:r>
      <w:r>
        <w:rPr/>
        <w:t xml:space="preserve"> montrent notamment que la diversité des préférences peut produire une diversité des comportements, même lorsque les différences d’intensité des préférences ne sont pas très importantes. La question de l’agrégation des préférences, notamment chez </w:t>
      </w:r>
      <w:r>
        <w:rPr>
          <w:rStyle w:val="Strong"/>
        </w:rPr>
        <w:t>Mudekereza</w:t>
      </w:r>
      <w:r>
        <w:rPr/>
        <w:t>, rappelle cependant qu’une modélisation de la population doit préciser quel objectif collectif ou quel optimum est recherché.</w:t>
      </w:r>
    </w:p>
    <w:p>
      <w:pPr>
        <w:pStyle w:val="BodyText"/>
        <w:rPr/>
      </w:pPr>
      <w:r>
        <w:rPr/>
        <w:t xml:space="preserve">Enfin, les </w:t>
      </w:r>
      <w:r>
        <w:rPr>
          <w:rStyle w:val="Strong"/>
        </w:rPr>
        <w:t>modèles à seuil et les modèles en réseau</w:t>
      </w:r>
      <w:r>
        <w:rPr/>
        <w:t xml:space="preserve"> constituent une piste particulièrement intéressante pour une évolution future du projet. </w:t>
      </w:r>
      <w:r>
        <w:rPr>
          <w:rStyle w:val="Strong"/>
        </w:rPr>
        <w:t>Granovetter</w:t>
      </w:r>
      <w:r>
        <w:rPr/>
        <w:t xml:space="preserve"> montre comment les décisions individuelles peuvent dépendre du nombre d’autres individus ayant déjà adopté un comportement. Les travaux de </w:t>
      </w:r>
      <w:r>
        <w:rPr>
          <w:rStyle w:val="Strong"/>
        </w:rPr>
        <w:t>Liu et al.</w:t>
      </w:r>
      <w:r>
        <w:rPr/>
        <w:t xml:space="preserve">, </w:t>
      </w:r>
      <w:r>
        <w:rPr>
          <w:rStyle w:val="Strong"/>
        </w:rPr>
        <w:t>Wiedermann et al.</w:t>
      </w:r>
      <w:r>
        <w:rPr/>
        <w:t xml:space="preserve">, </w:t>
      </w:r>
      <w:r>
        <w:rPr>
          <w:rStyle w:val="Strong"/>
        </w:rPr>
        <w:t>Wang et al.</w:t>
      </w:r>
      <w:r>
        <w:rPr/>
        <w:t xml:space="preserve"> et </w:t>
      </w:r>
      <w:r>
        <w:rPr>
          <w:rStyle w:val="Strong"/>
        </w:rPr>
        <w:t>Valente</w:t>
      </w:r>
      <w:r>
        <w:rPr/>
        <w:t xml:space="preserve"> prolongent cette approche en introduisant des réseaux, des seuils hétérogènes et une dynamique temporelle. Ils montrent notamment que la structure du réseau, les seuils individuels et les phénomènes de contagion peuvent modifier fortement la vitesse et l’ampleur de l’adoption. </w:t>
      </w:r>
      <w:r>
        <w:rPr>
          <w:rStyle w:val="Strong"/>
        </w:rPr>
        <w:t>Deng et al.</w:t>
      </w:r>
      <w:r>
        <w:rPr/>
        <w:t xml:space="preserve"> ajoutent l’idée de </w:t>
      </w:r>
      <w:r>
        <w:rPr>
          <w:rStyle w:val="Emphasis"/>
        </w:rPr>
        <w:t>local trend imitation</w:t>
      </w:r>
      <w:r>
        <w:rPr/>
        <w:t xml:space="preserve"> : un même individu peut modifier son comportement selon son environnement social immédiat. Ces travaux semblent donc fournir une base pertinente pour passer ultérieurement du modèle statique actuel à un </w:t>
      </w:r>
      <w:r>
        <w:rPr>
          <w:rStyle w:val="Strong"/>
        </w:rPr>
        <w:t>modèle dynamique dans lequel les agents s’influencent mutuellement</w:t>
      </w:r>
      <w:r>
        <w:rPr/>
        <w:t>.</w:t>
      </w:r>
    </w:p>
    <w:p>
      <w:pPr>
        <w:pStyle w:val="Heading3"/>
        <w:rPr/>
      </w:pPr>
      <w:r>
        <w:rPr/>
        <w:t>Ce que cette revue apporte au projet</w:t>
      </w:r>
    </w:p>
    <w:p>
      <w:pPr>
        <w:pStyle w:val="BodyText"/>
        <w:rPr/>
      </w:pPr>
      <w:r>
        <w:rPr/>
        <w:t xml:space="preserve">La revue fait surtout apparaître une </w:t>
      </w:r>
      <w:r>
        <w:rPr>
          <w:rStyle w:val="Strong"/>
        </w:rPr>
        <w:t>séparation entre plusieurs littératures</w:t>
      </w:r>
      <w:r>
        <w:rPr/>
        <w:t xml:space="preserve"> : la réactance est principalement étudiée en psychologie et expérimentalement ; la confiance est étudiée comme déterminant de l’acceptation des politiques ; l’hétérogénéité est largement modélisée dans les modèles d’adoption ; et les réseaux permettent d’étudier la diffusion et les seuils collectifs. En revanche, les notes ne font pas apparaître de modèle réunissant explicitement </w:t>
      </w:r>
      <w:r>
        <w:rPr>
          <w:rStyle w:val="Strong"/>
        </w:rPr>
        <w:t>réactance + confiance institutionnelle + hétérogénéité des agents + adoption d’une politique publique</w:t>
      </w:r>
      <w:r>
        <w:rPr/>
        <w:t>.</w:t>
      </w:r>
    </w:p>
    <w:p>
      <w:pPr>
        <w:pStyle w:val="BodyText"/>
        <w:rPr/>
      </w:pPr>
      <w:r>
        <w:rPr/>
        <w:t xml:space="preserve">Cela renforce l'intérêt de la direction actuelle du projet : considérer la réactance comme un </w:t>
      </w:r>
      <w:r>
        <w:rPr>
          <w:rStyle w:val="Strong"/>
        </w:rPr>
        <w:t>coût psychologique endogène de l’intervention</w:t>
      </w:r>
      <w:r>
        <w:rPr/>
        <w:t>, dont l’importance varie entre individus et dépend notamment de l’intensité de la politique et de la confiance institutionnelle. La littérature sur les seuils et les réseaux fournit ensuite une piste naturelle pour étudier les effets d’interaction entre agents.</w:t>
      </w:r>
    </w:p>
    <w:p>
      <w:pPr>
        <w:pStyle w:val="BodyText"/>
        <w:rPr/>
      </w:pPr>
      <w:r>
        <w:rPr/>
        <w:t xml:space="preserve">Les auteurs à retenir en priorité pour la suite sont donc </w:t>
      </w:r>
      <w:r>
        <w:rPr>
          <w:rStyle w:val="Strong"/>
        </w:rPr>
        <w:t>Brehm</w:t>
      </w:r>
      <w:r>
        <w:rPr/>
        <w:t xml:space="preserve"> pour les fondements de la réactance, </w:t>
      </w:r>
      <w:r>
        <w:rPr>
          <w:rStyle w:val="Strong"/>
        </w:rPr>
        <w:t>Rosenberg &amp; Siegel</w:t>
      </w:r>
      <w:r>
        <w:rPr/>
        <w:t xml:space="preserve"> pour l’état de la littérature sur celle-ci, </w:t>
      </w:r>
      <w:r>
        <w:rPr>
          <w:rStyle w:val="Strong"/>
        </w:rPr>
        <w:t>Bruns &amp; Perino</w:t>
      </w:r>
      <w:r>
        <w:rPr/>
        <w:t xml:space="preserve"> pour le lien direct entre réactance et nudges, </w:t>
      </w:r>
      <w:r>
        <w:rPr>
          <w:rStyle w:val="Strong"/>
        </w:rPr>
        <w:t>Proudfoot &amp; Kay</w:t>
      </w:r>
      <w:r>
        <w:rPr/>
        <w:t xml:space="preserve"> pour les politiques publiques, </w:t>
      </w:r>
      <w:r>
        <w:rPr>
          <w:rStyle w:val="Strong"/>
        </w:rPr>
        <w:t>Knack &amp; Zak</w:t>
      </w:r>
      <w:r>
        <w:rPr/>
        <w:t xml:space="preserve"> et </w:t>
      </w:r>
      <w:r>
        <w:rPr>
          <w:rStyle w:val="Strong"/>
        </w:rPr>
        <w:t>Mitaszewicz</w:t>
      </w:r>
      <w:r>
        <w:rPr/>
        <w:t xml:space="preserve"> pour la confiance institutionnelle, </w:t>
      </w:r>
      <w:r>
        <w:rPr>
          <w:rStyle w:val="Strong"/>
        </w:rPr>
        <w:t>Chen &amp; Ma / Mercure et al. / Erlei</w:t>
      </w:r>
      <w:r>
        <w:rPr/>
        <w:t xml:space="preserve"> pour l’hétérogénéité, et </w:t>
      </w:r>
      <w:r>
        <w:rPr>
          <w:rStyle w:val="Strong"/>
        </w:rPr>
        <w:t>Granovetter, Liu et al., Valente, Wang et al. et Deng et al.</w:t>
      </w:r>
      <w:r>
        <w:rPr/>
        <w:t xml:space="preserve"> pour les modèles à seuil, la contagion et les réseaux.</w:t>
      </w:r>
    </w:p>
    <w:p>
      <w:pPr>
        <w:pStyle w:val="Normal"/>
        <w:bidi w:val="0"/>
        <w:jc w:val="start"/>
        <w:rPr/>
      </w:pPr>
      <w:r>
        <w:rPr/>
      </w:r>
      <w:r>
        <w:br w:type="page"/>
      </w:r>
    </w:p>
    <w:p>
      <w:pPr>
        <w:pStyle w:val="Normal"/>
        <w:bidi w:val="0"/>
        <w:jc w:val="start"/>
        <w:rPr/>
      </w:pPr>
      <w:r>
        <w:rPr/>
        <w:t>- M. Burgoon, E. Alvaro, J. Grandpre, M. Voulodakis : « </w:t>
      </w:r>
      <w:r>
        <w:rPr>
          <w:b/>
          <w:bCs/>
        </w:rPr>
        <w:t>Revisiting the theory of psychological reactance</w:t>
      </w:r>
      <w:r>
        <w:rPr/>
        <w:t> » : un rappel sur la réactance</w:t>
      </w:r>
    </w:p>
    <w:p>
      <w:pPr>
        <w:pStyle w:val="Normal"/>
        <w:bidi w:val="0"/>
        <w:jc w:val="start"/>
        <w:rPr/>
      </w:pPr>
      <w:r>
        <w:rPr/>
      </w:r>
    </w:p>
    <w:p>
      <w:pPr>
        <w:pStyle w:val="Normal"/>
        <w:bidi w:val="0"/>
        <w:jc w:val="start"/>
        <w:rPr/>
      </w:pPr>
      <w:r>
        <w:rPr/>
        <w:t>- B. Rosenberg, J. T. Siegel : «</w:t>
      </w:r>
      <w:r>
        <w:rPr>
          <w:b/>
          <w:bCs/>
        </w:rPr>
        <w:t>A 50-year review of psychological reactance theory: Do not read this article</w:t>
      </w:r>
      <w:r>
        <w:rPr/>
        <w:t> » : Exactement ce que le titre promet, un état des lieux des sujets à traiter et notamment des travaux sur l’approche clinique, ou sur le thème de la communication avec des exemples d’articles. De plus, ils parlent aussi de mesurer la réactance et cite Brehm qui disait « ...that state psychological reactance is immeasurable ».  Ils parlent de mesurer la réactance avec des questionnaires, avec une approche psychologique ou avec des essais cliniques mais je n’ai pas vu de mention à un modèle mathématique. Ils sont clairement sur l’approche psy du problème car ce sont des chercheurs en psychologie.</w:t>
      </w:r>
    </w:p>
    <w:p>
      <w:pPr>
        <w:pStyle w:val="Normal"/>
        <w:bidi w:val="0"/>
        <w:jc w:val="start"/>
        <w:rPr/>
      </w:pPr>
      <w:r>
        <w:rPr/>
      </w:r>
    </w:p>
    <w:p>
      <w:pPr>
        <w:pStyle w:val="Normal"/>
        <w:bidi w:val="0"/>
        <w:jc w:val="start"/>
        <w:rPr/>
      </w:pPr>
      <w:r>
        <w:rPr/>
        <w:t>- L. Pavey, P. Sparks : «</w:t>
      </w:r>
      <w:r>
        <w:rPr>
          <w:b/>
          <w:bCs/>
        </w:rPr>
        <w:t>Reactance, autonomy and paths to persuasion: Examining perceptions of threats to freedom and informational value</w:t>
      </w:r>
      <w:r>
        <w:rPr/>
        <w:t> » : une fois de plus on est sur un article orienté psychologie. Ici, les auteurs ont fait des expériences sur des populations tests. Et si j’ai tout compris, l’objectif était de prouver que la réactance n’a pas de lien direct avec le niveau d’autonomie d’une personne. C’est rassurant de voir que des expériences ont déjà été réalisées et que les résultats montrent l’existence de la réactance. Toutefois, je n’y vois aucune mention faite d’un modèle.</w:t>
      </w:r>
    </w:p>
    <w:p>
      <w:pPr>
        <w:pStyle w:val="Normal"/>
        <w:bidi w:val="0"/>
        <w:jc w:val="start"/>
        <w:rPr/>
      </w:pPr>
      <w:r>
        <w:rPr/>
      </w:r>
    </w:p>
    <w:p>
      <w:pPr>
        <w:pStyle w:val="Normal"/>
        <w:bidi w:val="0"/>
        <w:jc w:val="start"/>
        <w:rPr/>
      </w:pPr>
      <w:r>
        <w:rPr/>
        <w:t>- H. Bruns, G. Perino : « </w:t>
      </w:r>
      <w:r>
        <w:rPr>
          <w:b/>
          <w:bCs/>
        </w:rPr>
        <w:t>The role of autonomy and reactance for nudging — Experimentally comparing defaults to recommendations and mandates</w:t>
      </w:r>
      <w:r>
        <w:rPr/>
        <w:t> » : une autre expérience mais en économie comportementale cette fois ci pour voir quel cadre de suggestion soulève le plus de reactance dans une population. Les auteurs remontent que les recommandations sont perçues comme moins intrusives mais plus menaçantes que les options par défaut. Ils notent aussi que les contributions minimums est la méthode qui créée le plus de réactance. Les auteurs proposent des vrais résultats ainsi que des statistiques sur leur expérience mais aucun modèle mathématique théorique précis.</w:t>
      </w:r>
    </w:p>
    <w:p>
      <w:pPr>
        <w:pStyle w:val="Normal"/>
        <w:bidi w:val="0"/>
        <w:jc w:val="start"/>
        <w:rPr/>
      </w:pPr>
      <w:r>
        <w:rPr/>
      </w:r>
    </w:p>
    <w:p>
      <w:pPr>
        <w:pStyle w:val="Normal"/>
        <w:bidi w:val="0"/>
        <w:jc w:val="start"/>
        <w:rPr/>
      </w:pPr>
      <w:r>
        <w:rPr/>
        <w:t>- D. Proudfoot, A. C. Kay : «</w:t>
      </w:r>
      <w:r>
        <w:rPr>
          <w:b/>
          <w:bCs/>
        </w:rPr>
        <w:t>Reactance or Rationalization? Predicting Public Responses to Government Policy</w:t>
      </w:r>
      <w:r>
        <w:rPr/>
        <w:t> » : un article sur le design des politiques publiques et comment les méthodes choisies peuvent influencer la population dans leurs décision et leur réactance. Pourquoi certaines lois plus liberticides sont plus facilement acceptées etc. Pas de modélisation mathématique cependant. Par contre, on voit poindre la notion de confiance institutionnelle.</w:t>
      </w:r>
    </w:p>
    <w:p>
      <w:pPr>
        <w:pStyle w:val="Normal"/>
        <w:bidi w:val="0"/>
        <w:jc w:val="start"/>
        <w:rPr/>
      </w:pPr>
      <w:r>
        <w:rPr/>
      </w:r>
    </w:p>
    <w:p>
      <w:pPr>
        <w:pStyle w:val="Normal"/>
        <w:bidi w:val="0"/>
        <w:jc w:val="start"/>
        <w:rPr/>
      </w:pPr>
      <w:r>
        <w:rPr/>
        <w:t>- A. Granulo, C. Fuchs, R. Böhm : « </w:t>
      </w:r>
      <w:r>
        <w:rPr>
          <w:b/>
          <w:bCs/>
        </w:rPr>
        <w:t>Psychological reactance to system-level policies before and after their implementation </w:t>
      </w:r>
      <w:r>
        <w:rPr>
          <w:b w:val="false"/>
          <w:bCs w:val="false"/>
        </w:rPr>
        <w:t>» : pas sûr d’avoir tout saisi mais en gros, selon eux, une politique publique souffrira moins de la réactance si l’action est déjà implémenter dans un pays. Ils ont des expériences avec des groupes de personnes et il semblerait que l’idée ce soit ça : si c’est déjà plus ou moins en débat dans un pays, la loi a plus de chance d’être adoptée par un grand nombre. Pas de notion mathématique ou théorique cependant mais une approche intéressante qui ne vient pas justifier la confiance institutionnelle mais apporte de la visibilité sur l’état d’une population vis à vis d’un sujet. En gros, est-ce que si je mets un sujet dans le débat public j’ai plus de chance que ma loi soit adoptée ? Je crois que c’est l’idée mais j’en suis pas sûr.</w:t>
      </w:r>
    </w:p>
    <w:p>
      <w:pPr>
        <w:pStyle w:val="Normal"/>
        <w:bidi w:val="0"/>
        <w:jc w:val="start"/>
        <w:rPr>
          <w:b w:val="false"/>
          <w:bCs w:val="false"/>
        </w:rPr>
      </w:pPr>
      <w:r>
        <w:rPr>
          <w:b w:val="false"/>
          <w:bCs w:val="false"/>
        </w:rPr>
      </w:r>
    </w:p>
    <w:p>
      <w:pPr>
        <w:pStyle w:val="Normal"/>
        <w:bidi w:val="0"/>
        <w:jc w:val="start"/>
        <w:rPr/>
      </w:pPr>
      <w:r>
        <w:rPr>
          <w:b w:val="false"/>
          <w:bCs w:val="false"/>
        </w:rPr>
        <w:t>- G. E. Bolton, E. Dimant, U. Schmidt : « </w:t>
      </w:r>
      <w:r>
        <w:rPr>
          <w:b/>
          <w:bCs/>
        </w:rPr>
        <w:t>When a Nudge Backfires: Combining (Im)Plausible Deniability with Social and Economic Incentives to Promote Behavioral Change</w:t>
      </w:r>
      <w:r>
        <w:rPr>
          <w:b w:val="false"/>
          <w:bCs w:val="false"/>
        </w:rPr>
        <w:t> » : ok du coup je comprends mieux l’effet coup de bâton. Ici les auteurs ont réalisés des expériences entre plusieurs personnes pour cibles comment un retour de bâton affecte leur prise de décision dans le cadre de dons par exemple. Ils montrent qu’en fonction des différentes formes de motivations (auto-satisfaction, validation sociale etc.) on obtient des résultats très différents sur la générosité des gens. Ils mentionnent que cela peut être interpréter dans le cadre de politiques publiques pour motiver les gens. Ils développent une fonction d’utilité qui va dépendre du jugement des autres et/ou de la sanction appliquée : UA = U(100 − x, x, E(y|x), SIA,j (x))  où SI est la probabilité qu’un agent soit altruiste ou égoïste et E(y/x) est la notion des désirabilité sociale d’une action.</w:t>
      </w:r>
    </w:p>
    <w:p>
      <w:pPr>
        <w:pStyle w:val="Normal"/>
        <w:bidi w:val="0"/>
        <w:jc w:val="start"/>
        <w:rPr>
          <w:b w:val="false"/>
          <w:bCs w:val="false"/>
        </w:rPr>
      </w:pPr>
      <w:r>
        <w:rPr>
          <w:b w:val="false"/>
          <w:bCs w:val="false"/>
        </w:rPr>
      </w:r>
    </w:p>
    <w:p>
      <w:pPr>
        <w:pStyle w:val="Normal"/>
        <w:bidi w:val="0"/>
        <w:jc w:val="start"/>
        <w:rPr/>
      </w:pPr>
      <w:r>
        <w:rPr>
          <w:b w:val="false"/>
          <w:bCs w:val="false"/>
        </w:rPr>
        <w:t>- S. Knack, P. J. Zak : « </w:t>
      </w:r>
      <w:r>
        <w:rPr>
          <w:b/>
          <w:bCs/>
        </w:rPr>
        <w:t>Building Trust: Public Policy, Interpersonal Trust, and Economic Development* </w:t>
      </w:r>
      <w:r>
        <w:rPr>
          <w:b w:val="false"/>
          <w:bCs w:val="false"/>
        </w:rPr>
        <w:t>» : article super intéressant sur les facteurs qui améliorent l’adoption des politiques publiques. Il va complètement dans le sens de mon équation puisque les auteurs prouvent que c’est en s’assurant d’un niveau d’éducation minimal, d’une qualité de vie suffisante et de suffisamment de liberté qu’un état construit la confiance de ces habitants en ses politiques publiques. Ces dernières seront d’autant plus adoptées si elles sont mises en place dans un état qui garanti un certain niveau de vie. Si c’est donc l’état qui détermine le niveau de confiance, alors on peut estimer pour le bien du modèle, que la variable est une constante qui est la même pour chaque agent.</w:t>
      </w:r>
    </w:p>
    <w:p>
      <w:pPr>
        <w:pStyle w:val="Normal"/>
        <w:bidi w:val="0"/>
        <w:jc w:val="start"/>
        <w:rPr>
          <w:b w:val="false"/>
          <w:bCs w:val="false"/>
        </w:rPr>
      </w:pPr>
      <w:r>
        <w:rPr>
          <w:b w:val="false"/>
          <w:bCs w:val="false"/>
        </w:rPr>
      </w:r>
    </w:p>
    <w:p>
      <w:pPr>
        <w:pStyle w:val="Normal"/>
        <w:bidi w:val="0"/>
        <w:jc w:val="start"/>
        <w:rPr/>
      </w:pPr>
      <w:r>
        <w:rPr/>
        <w:t>- J. Alm :  « </w:t>
      </w:r>
      <w:r>
        <w:rPr>
          <w:b/>
          <w:bCs/>
        </w:rPr>
        <w:t>TRUST, THE PANDEMIC, AND PUBLIC POLICIES</w:t>
      </w:r>
      <w:r>
        <w:rPr/>
        <w:t> » : Petit papier pas inintéressant bien que j’ai un doute sur sa teneur scientifique (invited Paper de 2021, je ne sais pas ce que ça veut dire exactement). Ici l’auteur appuie sur le fait que la confiance institutionnelle est un facteur clé de la bonne réussite d’une politique publique mais que celle ci fluctue dans le temps. Il parle d’une stratégie qui ne doit jamais s’envisager comme quelque chose de rapide. La confiance se construit dans le temps. Son thème portait sur la campagne de vaccination de 2021.</w:t>
      </w:r>
    </w:p>
    <w:p>
      <w:pPr>
        <w:pStyle w:val="Normal"/>
        <w:bidi w:val="0"/>
        <w:jc w:val="start"/>
        <w:rPr/>
      </w:pPr>
      <w:r>
        <w:rPr/>
      </w:r>
    </w:p>
    <w:p>
      <w:pPr>
        <w:pStyle w:val="Normal"/>
        <w:bidi w:val="0"/>
        <w:jc w:val="start"/>
        <w:rPr/>
      </w:pPr>
      <w:r>
        <w:rPr/>
        <w:t>- J. R. Marden, J. S. Shamma : « </w:t>
      </w:r>
      <w:r>
        <w:rPr>
          <w:b/>
          <w:bCs/>
        </w:rPr>
        <w:t>Game Theory and Control</w:t>
      </w:r>
      <w:r>
        <w:rPr/>
        <w:t> » : Un court article qui reprend les notion de base de la théorie des jeux, les notations. Il introduit différents types de jeux comme les jeux à somme nulle, les jeux en équipe et les jeux avec coopération. Il parle des optimum dans un jeu avec de multiples joueurs et présente l’équilibre de Nash. Je n’ai pas l’impression d’y voir grand-chose de neuf que je n’ai pas déjà vu par ailleurs (dans Game theoy and economic behavior de Neumann et Morgenstern par exemple).</w:t>
      </w:r>
    </w:p>
    <w:p>
      <w:pPr>
        <w:pStyle w:val="Normal"/>
        <w:bidi w:val="0"/>
        <w:jc w:val="start"/>
        <w:rPr/>
      </w:pPr>
      <w:r>
        <w:rPr/>
      </w:r>
    </w:p>
    <w:p>
      <w:pPr>
        <w:pStyle w:val="Normal"/>
        <w:bidi w:val="0"/>
        <w:jc w:val="start"/>
        <w:rPr/>
      </w:pPr>
      <w:r>
        <w:rPr/>
        <w:t>- H. Chen, T. Ma : « </w:t>
      </w:r>
      <w:r>
        <w:rPr>
          <w:b/>
          <w:bCs/>
        </w:rPr>
        <w:t>Optimizing systematic technology adoption with heterogeneous agents</w:t>
      </w:r>
      <w:r>
        <w:rPr/>
        <w:t> » : Dans cet article, les auteurs présentent un modèle dans lequel les preneurs de décision sont nombreux et ont des préférences hétérogènes. Ils ont développé un modèle pour étudier l’adoption de nouvelles technologies. L’objet du papier est surtout de montrer comment, dans sa productivité, un agent est affecté par ce que les autres producteurs font. Leurs conclusions sont que plus ont a d’agent décideurs, plus le temps d’adoption d’une technologie sera long mais en parallèle, si les agents sont hétérogène, alors le moindre petit débordement technologique peut accélérer l’adoption de la technologie. L’approche du papier repose surtout sur l’adoption de technologie en vue d’augmenter la productivité mais le modèle multi agents avec des préférences hétérogènes peut avoir un intérêt.</w:t>
      </w:r>
    </w:p>
    <w:p>
      <w:pPr>
        <w:pStyle w:val="Normal"/>
        <w:bidi w:val="0"/>
        <w:jc w:val="start"/>
        <w:rPr/>
      </w:pPr>
      <w:r>
        <w:rPr/>
      </w:r>
    </w:p>
    <w:p>
      <w:pPr>
        <w:pStyle w:val="Normal"/>
        <w:bidi w:val="0"/>
        <w:jc w:val="start"/>
        <w:rPr/>
      </w:pPr>
      <w:r>
        <w:rPr/>
        <w:t>- J. F. Mercure, H. Pollitt, A. M. Bassi, J. E. Vinuales : « </w:t>
      </w:r>
      <w:r>
        <w:rPr>
          <w:b/>
          <w:bCs/>
        </w:rPr>
        <w:t>Modelling complex systems of heterogeneous agents to better design sustainability transitions policy</w:t>
      </w:r>
      <w:r>
        <w:rPr/>
        <w:t> » : Dans cet article, les auteurs travaillent sur la notion de population hétérogène, notamment sur l’aspect environnementale. Ils étudient l’adoption des agents hétérogènes dans une population sous un angle assez statistiques. Je n’y vois pas de modèle à proprement parler. Ils inscrivent leurs travaux dans le cadre le politiques publiques et d’incertitude des préférences. On y voit les graphiques avec différents scénario. Cependant, je n’y vois pas de mention à la réactance.</w:t>
      </w:r>
    </w:p>
    <w:p>
      <w:pPr>
        <w:pStyle w:val="Normal"/>
        <w:bidi w:val="0"/>
        <w:jc w:val="start"/>
        <w:rPr/>
      </w:pPr>
      <w:r>
        <w:rPr/>
      </w:r>
    </w:p>
    <w:p>
      <w:pPr>
        <w:pStyle w:val="Normal"/>
        <w:bidi w:val="0"/>
        <w:jc w:val="start"/>
        <w:rPr/>
      </w:pPr>
      <w:r>
        <w:rPr/>
        <w:t>- F. Mudekereza : « </w:t>
      </w:r>
      <w:r>
        <w:rPr>
          <w:b/>
          <w:bCs/>
        </w:rPr>
        <w:t>ROBUST AGGREGATION OF PREFERENCES∗</w:t>
      </w:r>
      <w:r>
        <w:rPr/>
        <w:t> » : Article intéressant qui, pour le coup développe un vrai modèle d’agrégation des préférences dans une population hétérogène avec un agent planeur qui veut obtenir le meilleur résultat possible. L’auteur y développe son modèles et ses hypothèses ainsi que la phase d’agrégation. J’en comprends que l’approche qu’il utilise est essentiellement tournée vers l’utilité globale et il cite beaucoup l’optimum au sens de Pareto pour justifier son approche. J’en conclus que pour définir un cadre de population hétérogène, il convient d’abord de savoir vers quel optimum on se dirige. Cela me rappelle les travaux d’Amartya Sen et ses critiques sur les différentes formes d’utilitarisme et de maximisation du bien être. Aucune mention à la réactance n’est à relevée dans ce texte.</w:t>
      </w:r>
    </w:p>
    <w:p>
      <w:pPr>
        <w:pStyle w:val="Normal"/>
        <w:bidi w:val="0"/>
        <w:jc w:val="start"/>
        <w:rPr/>
      </w:pPr>
      <w:r>
        <w:rPr/>
      </w:r>
    </w:p>
    <w:p>
      <w:pPr>
        <w:pStyle w:val="Normal"/>
        <w:bidi w:val="0"/>
        <w:jc w:val="start"/>
        <w:rPr/>
      </w:pPr>
      <w:r>
        <w:rPr/>
        <w:t>- M. Erlei : « </w:t>
      </w:r>
      <w:r>
        <w:rPr>
          <w:b/>
          <w:bCs/>
        </w:rPr>
        <w:t>Heterogeneous Social Preferences</w:t>
      </w:r>
      <w:r>
        <w:rPr/>
        <w:t> » : Cet article qui présente un modèle de simulation de population hétérogène qui est testé sur des jeux pour simuler les résultats en laboratoire. L’auteur ne présente pas tant une équation mais plutôt un ensemble de facteurs qui viennent influencer les décision. Il conclut que dans un cadre avec des agents aux préférences hétérogènes, son modèle prédit plutôt bien les incohérences et les choix « anormaux » des individus dans le cadre d’expériences. Je n’ai peut-être pas assez approfondi le texte mais je ne crois pas que l’auteur précise exactement quelles sont les sources d’hétérogénéité si ce n’est des préférences et des probabilités puisqu’il est sur un modèle de simulation.</w:t>
      </w:r>
    </w:p>
    <w:p>
      <w:pPr>
        <w:pStyle w:val="Normal"/>
        <w:bidi w:val="0"/>
        <w:jc w:val="start"/>
        <w:rPr/>
      </w:pPr>
      <w:r>
        <w:rPr/>
      </w:r>
    </w:p>
    <w:p>
      <w:pPr>
        <w:pStyle w:val="Normal"/>
        <w:bidi w:val="0"/>
        <w:jc w:val="start"/>
        <w:rPr/>
      </w:pPr>
      <w:r>
        <w:rPr/>
        <w:t>- P. R. Neary, J. Newton : « </w:t>
      </w:r>
      <w:r>
        <w:rPr>
          <w:b/>
          <w:bCs/>
        </w:rPr>
        <w:t>HETEROGENEITY IN PREFERENCES AND BEHAVIOR IN THRESHOLD MODELS </w:t>
      </w:r>
      <w:r>
        <w:rPr/>
        <w:t>» : Si le titre de l’article me semblait très prometteur, je n’y trouve cependant pas grand-chose à dire. Leur travaux sont des modélisations graphiques de préférences dans une population avec une approche en réseau dans laquelle l’hétérogénéité des stratégies des agents influence le résultat. Seule phrase que je crois à peu près importante : « In particular, a class of graphs is identified such that for large enough graphs in this class, diversity in ordinal preferences will nearly always lead to heterogeneity in behavior, regardless of the cardinal strength of the preferences. These results have implications for network design problems, such as when a social planner wishes to induce homogeneous/heterogeneous behavior in a population. »</w:t>
      </w:r>
    </w:p>
    <w:p>
      <w:pPr>
        <w:pStyle w:val="Normal"/>
        <w:bidi w:val="0"/>
        <w:jc w:val="start"/>
        <w:rPr/>
      </w:pPr>
      <w:r>
        <w:rPr/>
      </w:r>
    </w:p>
    <w:p>
      <w:pPr>
        <w:pStyle w:val="Normal"/>
        <w:bidi w:val="0"/>
        <w:jc w:val="start"/>
        <w:rPr/>
      </w:pPr>
      <w:r>
        <w:rPr/>
        <w:t>- D. Mitaszewicz :  « </w:t>
      </w:r>
      <w:r>
        <w:rPr>
          <w:b/>
          <w:bCs/>
        </w:rPr>
        <w:t>Trust in Government as a Factor Influencing Acceptance of Behavioural Public Policy Instruments: Example of Poland and Selected Countries </w:t>
      </w:r>
      <w:r>
        <w:rPr/>
        <w:t>» : en réalité une lecture très rapide car on pourrait résumer l’article comme ceci : étude de la corrélation entre l’adoption des nudges et la confiance institutionnelle mesurée dans une population. L’étude s’appuie sur des chiffres de niveau d’acceptation ou de réussite de nudges mis en place dans différents pays. En conclusion, l’auteur démontre qu’il existe bien une relation entre confiance dans les institution et propension à suivre une recommandation dans la population. Cependant, il note qu’il ne semble pas s’agir d’une relation linéaire mais plutôt en forme de U. Sous entendu que dans les pays à faible confiance, les nudges ont quand même réussis à obtenir un bon taux d’adoption. Cela me fait me poser la question de l’impact de l’aspect « totalitaire » d’un gouvernement.</w:t>
      </w:r>
    </w:p>
    <w:p>
      <w:pPr>
        <w:pStyle w:val="Normal"/>
        <w:bidi w:val="0"/>
        <w:jc w:val="start"/>
        <w:rPr/>
      </w:pPr>
      <w:r>
        <w:rPr/>
      </w:r>
    </w:p>
    <w:p>
      <w:pPr>
        <w:pStyle w:val="Normal"/>
        <w:bidi w:val="0"/>
        <w:jc w:val="start"/>
        <w:rPr/>
      </w:pPr>
      <w:r>
        <w:rPr/>
        <w:t>R. Chetty : « </w:t>
      </w:r>
      <w:r>
        <w:rPr>
          <w:b/>
          <w:bCs/>
        </w:rPr>
        <w:t>BEHAVIORAL ECONOMICS AND PUBLIC POLICY: A PRAGMATIC PERSPECTIVE</w:t>
      </w:r>
      <w:r>
        <w:rPr/>
        <w:t> » : Lecture rapide aussi, l’auteur nous démontre comment l’introduction des facteurs comportementaux dans les études économiques est à voir comme une approche pragmatique permettant de fixer un cadre hétérogène mais que, selon lui, cela n’a pas pour objet de répondre à un besoin de la recherche en psychologie. En gros, on ne cherche pas à comprendre pourquoi mais on suppose que ça existe pour prendre en considération le fait qu’une population ne sera jamais parfaitement d’accord. On mentionne encore l’utilité avec des facteurs comme la puissance d’une politique publique mais ici, l’auteur n’explique pas les différences de préférences au travers de la réactance par exemple.</w:t>
      </w:r>
    </w:p>
    <w:p>
      <w:pPr>
        <w:pStyle w:val="Normal"/>
        <w:bidi w:val="0"/>
        <w:jc w:val="start"/>
        <w:rPr/>
      </w:pPr>
      <w:r>
        <w:rPr/>
      </w:r>
    </w:p>
    <w:p>
      <w:pPr>
        <w:pStyle w:val="Normal"/>
        <w:bidi w:val="0"/>
        <w:jc w:val="start"/>
        <w:rPr/>
      </w:pPr>
      <w:r>
        <w:rPr/>
        <w:t>La recherche : « adoption threshold model economics » m’emmène surtout sur des articles autour de l’adoption des nouvelles technologies comme on l’a vu plus haut avec des mentions faites sur l’influence des externalités, des coûts et des préférences. Ceci concerne toujours le cadre d’un agent producteur qui ne réagit pas à un événement mais s’adapte pour survivre. On ne peut pas vraiment l’appliquer à la mise en place d’une politique publique par exemple.</w:t>
      </w:r>
    </w:p>
    <w:p>
      <w:pPr>
        <w:pStyle w:val="Normal"/>
        <w:bidi w:val="0"/>
        <w:jc w:val="start"/>
        <w:rPr/>
      </w:pPr>
      <w:r>
        <w:rPr/>
      </w:r>
    </w:p>
    <w:p>
      <w:pPr>
        <w:pStyle w:val="Normal"/>
        <w:bidi w:val="0"/>
        <w:jc w:val="start"/>
        <w:rPr/>
      </w:pPr>
      <w:r>
        <w:rPr/>
        <w:t>- M, Granovetter :  « </w:t>
      </w:r>
      <w:r>
        <w:rPr>
          <w:b/>
          <w:bCs/>
        </w:rPr>
        <w:t>Threshold Models of Collective Behavior</w:t>
      </w:r>
      <w:r>
        <w:rPr/>
        <w:t> » : L’article présente des modèles permettant de simuler comment les décisions sur un groupe de personnes peuvent être prises. Il se base sur le principe que l’utilité d’un agent (l’outcome qu’il retire d’un prise de décision) augmente avec le nombre de personnes qui prennent la même décision. Ces modèles apportent une vraie vision sur la notion de seuil qui viendrait pousser un individu à adopter un acte parce que les autres le font. Si personne ne fait du tri alors pourquoi le ferais-je ? Cela ne changerait rien à la situation de la planète. Par contre si tout le monde le fait sauf moi, je suis le dernier à poser problème et donc cela m’incite à le faire aussi. C’est pas complètement ça mais je crois avoir compris le principe. Ce genre de modèle va permettre d’expliquer comment un seuil de réactance élevé dans la population peut entraîner encore plus de réactance (ce qui est inverse à ce que je viens de décrire). A moins que l’on considère que l’adoption sera plus forte si une plus grande part de la population adopte. En fait, je pense même que ce type de modèle vient plus impacter les motivations intrinsèques (je suis plus motivé si tout le monde le fait et que cela m’apporte plus d’utilité in fine) ou le coût d’une action (si tout le monde le fait alors je serai plus à même de supporter le coût). Finalement, ce type de modèle me semble surtout pertinent du point de vue de la motivation des agents.</w:t>
      </w:r>
    </w:p>
    <w:p>
      <w:pPr>
        <w:pStyle w:val="Normal"/>
        <w:bidi w:val="0"/>
        <w:jc w:val="start"/>
        <w:rPr/>
      </w:pPr>
      <w:r>
        <w:rPr/>
      </w:r>
    </w:p>
    <w:p>
      <w:pPr>
        <w:pStyle w:val="Normal"/>
        <w:bidi w:val="0"/>
        <w:jc w:val="start"/>
        <w:rPr/>
      </w:pPr>
      <w:r>
        <w:rPr/>
        <w:t>-Ji Liu, Navid Hassanpour, Sekhar Tatikonda, A. Stephen Morse : « </w:t>
      </w:r>
      <w:r>
        <w:rPr>
          <w:b/>
          <w:bCs/>
        </w:rPr>
        <w:t>Dynamic Threshold Models of Collective Action in Social Networks </w:t>
      </w:r>
      <w:r>
        <w:rPr/>
        <w:t>» : Dans cet article, les auteurs propose un modèle dynamique à seuil pour la prise de décision dans un cadre collectif. Ce qu’ils en retire c’est essentiellement que la qualité du réseau va modifier l’ubiquité d’une prise de décision. La structure du réseau mais aussi les seuils initiaux des agents hétérogènes viennent affecter la qualité de la transmission d’une action mais que le fonctionnement dynamique en réseau peut pousser les agents les plus averses (au risque) à rejoindre le groupe. Ici aussi, on justifie plus ou moins le fait que les motivations intrinsèques des agents peuvent être influencées par les autres agents.</w:t>
      </w:r>
    </w:p>
    <w:p>
      <w:pPr>
        <w:pStyle w:val="Normal"/>
        <w:bidi w:val="0"/>
        <w:jc w:val="start"/>
        <w:rPr/>
      </w:pPr>
      <w:r>
        <w:rPr/>
      </w:r>
    </w:p>
    <w:p>
      <w:pPr>
        <w:pStyle w:val="Normal"/>
        <w:bidi w:val="0"/>
        <w:jc w:val="start"/>
        <w:rPr/>
      </w:pPr>
      <w:r>
        <w:rPr>
          <w:u w:val="none"/>
        </w:rPr>
        <w:t>- MarcWiedermann1, E. Keith Smith, Jobst Heitzig &amp; Jonathan F. Donges : « </w:t>
      </w:r>
      <w:r>
        <w:rPr>
          <w:b/>
          <w:bCs/>
          <w:u w:val="none"/>
        </w:rPr>
        <w:t xml:space="preserve"> A network-based microfoundation of Granovetter’s threshold model for social tipping </w:t>
      </w:r>
      <w:r>
        <w:rPr>
          <w:u w:val="none"/>
        </w:rPr>
        <w:t xml:space="preserve">» : Cet article présente des simulations en situation réelle du modèle à seuil de Granovetter et vient simplement proposer une réécriture de l’équation R(t + 1*) = ( NF Rt())  en </w:t>
      </w:r>
      <w:r>
        <w:rPr/>
        <w:t>R(t+1 = ( A + C +⋅ FR()t ) où N est remplacé par A + C qui sont les parts des agents qui participent si j’ai bien suivi. L’article ne propose cependant pas de nouvelles avancées mais simplement une approche mathématique du modèle sur des exemples réels.</w:t>
      </w:r>
    </w:p>
    <w:p>
      <w:pPr>
        <w:pStyle w:val="Normal"/>
        <w:bidi w:val="0"/>
        <w:jc w:val="start"/>
        <w:rPr/>
      </w:pPr>
      <w:r>
        <w:rPr/>
      </w:r>
    </w:p>
    <w:p>
      <w:pPr>
        <w:pStyle w:val="Normal"/>
        <w:bidi w:val="0"/>
        <w:jc w:val="start"/>
        <w:rPr/>
      </w:pPr>
      <w:r>
        <w:rPr/>
        <w:t>- Wei Wang, Ming Tang, Panpan Shu, and ZhenWang : « </w:t>
      </w:r>
      <w:r>
        <w:rPr>
          <w:b/>
          <w:bCs/>
        </w:rPr>
        <w:t>Dynamics of social contagions with heterogeneous adoption thresholds: crossover phenomena in phase transition</w:t>
      </w:r>
      <w:r>
        <w:rPr/>
        <w:t> » : Lecture rapide car je crois avoir compris très rapidement ce qui allait m’intéresser ici : Les auteurs ont développé un modèle de contagion à seuil non-Markovien (qu’il faut que je cherche car je ne connais pas) et ont simuler dans une population hétérogène, comment les individus fortement investis finissent par convaincre ceux qui sont sans avis. Ils trouvent que les agents les plus investis (militants) doivent d’abord être convaincus eux-mêmes avant d’aller pousser les autres à faire comme eux. C’est pourquoi c’est un modèle dynamique car il leur faut un premier temps pour s’auto-convaincre. Ce type d’approche est intéressante pour expliquer comment, plus une politique publique ou une campagne est coûteuse ou mobilise de gens contre celle-ci, plus l’effet de contagion dans la population va être grand. Autrement dit, plus les réactant auront de raisons d’être réactants, plus ils iront motiver les autres agents à devenir réactant rapidement. Plus j’insiste sur le fait qu’il faut faire du tri, plus les gens fermement opposés seront opposés et donc, plus ils chercheront à convaincre les autres qu’il ne faut pas trier. Cela fonctionne aussi super bien sur les campagnes de vaccination qui ont eue lieu pendant la crise COVID.</w:t>
      </w:r>
    </w:p>
    <w:p>
      <w:pPr>
        <w:pStyle w:val="Normal"/>
        <w:bidi w:val="0"/>
        <w:jc w:val="start"/>
        <w:rPr/>
      </w:pPr>
      <w:r>
        <w:rPr/>
      </w:r>
    </w:p>
    <w:p>
      <w:pPr>
        <w:pStyle w:val="Normal"/>
        <w:bidi w:val="0"/>
        <w:jc w:val="start"/>
        <w:rPr/>
      </w:pPr>
      <w:r>
        <w:rPr/>
        <w:t>- T. W. Valente : « </w:t>
      </w:r>
      <w:r>
        <w:rPr>
          <w:b/>
          <w:bCs/>
        </w:rPr>
        <w:t>Social network thresholds in the diffusion of innovations</w:t>
      </w:r>
      <w:r>
        <w:rPr/>
        <w:t> » : Dans cet article, l’auteur présente un modèle de seuil dans lequel il identifie 4 populations (les adoptant immédiat, la majorité immédiate, les adoptants en retard et la majorité en retard) dans deux contextes : l’un où ils sont vus dans l’ensemble de la population et l’autre avec une approche plus individualistes mais en réseau. L’auteur montre comment le réseau fini par emmener tout le monde vers l’adoption mais avec un lag. Là où il dit que certains agents pourraient rejoindre à t = 3, ils finissent par adopter en t = 5, cela vient montrer comment certaines innovations (dans mon cas politique publiques) peuvent rencontrer des échecs. De manière générale, je comprends bien que les modèles à seuil permettent de simuler l’échec à travers les motivations des agents mais aussi la qualité du réseau de transmission de l’information.</w:t>
      </w:r>
    </w:p>
    <w:p>
      <w:pPr>
        <w:pStyle w:val="Normal"/>
        <w:bidi w:val="0"/>
        <w:jc w:val="start"/>
        <w:rPr/>
      </w:pPr>
      <w:r>
        <w:rPr/>
      </w:r>
    </w:p>
    <w:p>
      <w:pPr>
        <w:pStyle w:val="Normal"/>
        <w:bidi w:val="0"/>
        <w:jc w:val="start"/>
        <w:rPr/>
      </w:pPr>
      <w:r>
        <w:rPr/>
        <w:t>- Gang Deng, Yuting Peng, Yang Tian and Xuzhen Zhu : « </w:t>
      </w:r>
      <w:r>
        <w:rPr>
          <w:b/>
          <w:bCs/>
        </w:rPr>
        <w:t>Analysis of Influence of Behavioral Adoption Threshold Diversity on Multi-Layer Network </w:t>
      </w:r>
      <w:r>
        <w:rPr/>
        <w:t>» : Dans cet article, je comprends que les auteurs ont modélisé des simulations avec des modèles à seuil pour l’adoption de quelque chose en lien avec un réseau et sur différentes couches. Ce que je retiens c’est qu’un même agent avec les mêmes préférences, peut avoir un seuil qui diffère et un choix qui change entre différentes couches de réseaux. Les auteurs parlent de « local trend imitation » (LTI) pour justifier ce changement d’avis. En gros, en fonction de l’environnement local du nœud de l’agent, celui-ci est influencer en premier lieu par les agents les plus proches créant ainsi un effet de cluster qui va impacter son adoption ou non (toutes préférences intrinsèques égales par ailleurs). Ainsi, dans mon cas, si je souhaite rendre mon modèle dynamique et en réseau, ce genre de conclusion vient justifier cette approche car mon modèle statique ne permet pas de simuler l’influencer des autres agents si ce n’est en modifiant les paramètres de la distribution normale des motivations Vi.</w:t>
      </w:r>
    </w:p>
    <w:p>
      <w:pPr>
        <w:pStyle w:val="Normal"/>
        <w:bidi w:val="0"/>
        <w:jc w:val="start"/>
        <w:rPr/>
      </w:pPr>
      <w:r>
        <w:rPr/>
      </w:r>
    </w:p>
    <w:p>
      <w:pPr>
        <w:pStyle w:val="Normal"/>
        <w:bidi w:val="0"/>
        <w:jc w:val="start"/>
        <w:rPr/>
      </w:pPr>
      <w:r>
        <w:rPr/>
        <w:t>- E. Rogers : « </w:t>
      </w:r>
      <w:r>
        <w:rPr>
          <w:b/>
          <w:bCs/>
        </w:rPr>
        <w:t>Diffusion of Innovations</w:t>
      </w:r>
      <w:r>
        <w:rPr/>
        <w:t> » : Article très court sur la notion de tipping point ou, point à partir duquel un tendance prend et fini par faire l’unanimité. C’est un point qui est recherché dans beaucoup d’industrie pour faire grandir leur activité et améliorer leurs chiffres. Il prend un exemple sur les clavier QWERTY. Puisque c’est la norme, alors même un clavier mieux conçu ne prendra jamais car tout le monde s’est mis à utiliser du QWERTY (sauf les français bien sûr) et que réapprendre un nouveau clavier prendrait trop de temps. Ceci reste intéressant toutefois pour justifier de l’intérêt de bien concevoir une politique publique dès le premier temps afin de ne pas venir créer des coûts supplémentaires à posteriori sur des changements à la marge. Exemple sur le tri, si je demande de trier les déchets en 3 poubelles différentes et que demain je change tout pour 5 poubelles de couleurs encore différentes, la probabilité que les gens me suivent s’affaiblit car ils ne voudront pas re dépenser à nouveau et cela peut entraîner plus de réactance.</w:t>
      </w:r>
    </w:p>
    <w:p>
      <w:pPr>
        <w:pStyle w:val="Normal"/>
        <w:bidi w:val="0"/>
        <w:jc w:val="start"/>
        <w:rPr/>
      </w:pPr>
      <w:r>
        <w:rPr/>
      </w:r>
    </w:p>
    <w:p>
      <w:pPr>
        <w:pStyle w:val="Normal"/>
        <w:bidi w:val="0"/>
        <w:jc w:val="start"/>
        <w:rPr/>
      </w:pPr>
      <w:r>
        <w:rPr/>
        <w:t>-D. R. Jones  M. B. Jones : « </w:t>
      </w:r>
      <w:r>
        <w:rPr>
          <w:b/>
          <w:bCs/>
        </w:rPr>
        <w:t>BEHAVIORAL CONTAGION IN SIBSHIPS</w:t>
      </w:r>
      <w:r>
        <w:rPr/>
        <w:t> » : Simplement un article qui, au travers de l’analyse de situation réelles dans des orphelinats mais aussi avec une approche mathématique, démontre que les comportements d’une personne peuvent influencer celui des autres. Ils concluent simplement en ajoutant que cela peut se  voir dans le cadre familial notamment. Ils utilisent un modèle de contagion pour comparer le réel avec le théorique.</w:t>
      </w:r>
    </w:p>
    <w:p>
      <w:pPr>
        <w:pStyle w:val="Normal"/>
        <w:bidi w:val="0"/>
        <w:jc w:val="start"/>
        <w:rPr/>
      </w:pPr>
      <w:r>
        <w:rPr/>
      </w:r>
    </w:p>
    <w:p>
      <w:pPr>
        <w:pStyle w:val="Normal"/>
        <w:bidi w:val="0"/>
        <w:jc w:val="start"/>
        <w:rPr/>
      </w:pPr>
      <w:r>
        <w:rPr/>
        <w:t>- Michele Marraa, David J. Pannellb , Amir Abadi Ghadim : « </w:t>
      </w:r>
      <w:r>
        <w:rPr>
          <w:b/>
          <w:bCs/>
        </w:rPr>
        <w:t>The economics of risk, uncertainty and learning in the adoption of new agricultural technologies: where are we on the learning curve?</w:t>
      </w:r>
      <w:r>
        <w:rPr/>
        <w:t> » : Dans cet article, les auteurs abordent le sujet de l’adoption des technologies dans le milieu agricole. Ils cherchent à prouver en quoi et dans quelles mesures l’incertitude et l’aversion au risque jouent un rôle dans le refus d’adopter de nouvelles technologies. Ces élément me font penser à des raisons que nous pourrions inscrire dans la réactance comme facteurs d’influence. Ceux-ci sont globalement différents d’un agent à un autre et donc, nous pourrions supposer leur distribution comme normal. Mais nous pourrions aussi nous appuyer sur notre distribution Gamma qui reprends un peu les mêmes caractéristiques à la différence près qu’il existe cette traîne d’agents réactant. Ici les auteurs ne font pas mention de préférences intrinsèques puisqu’ils travaillent sur les entreprises (agriculteurs) ni de réactance mais c’est comme ça que j’interprète leur travaux.</w:t>
      </w:r>
    </w:p>
    <w:p>
      <w:pPr>
        <w:pStyle w:val="Normal"/>
        <w:bidi w:val="0"/>
        <w:jc w:val="start"/>
        <w:rPr/>
      </w:pPr>
      <w:r>
        <w:rPr/>
      </w:r>
    </w:p>
    <w:p>
      <w:pPr>
        <w:pStyle w:val="Normal"/>
        <w:bidi w:val="0"/>
        <w:jc w:val="start"/>
        <w:rPr/>
      </w:pPr>
      <w:r>
        <w:rPr/>
        <w:t>- T. Rollins : « </w:t>
      </w:r>
      <w:r>
        <w:rPr>
          <w:b/>
          <w:bCs/>
        </w:rPr>
        <w:t>Using-The-Innovation-Adoption-Diffusion-Model-To-Target-Educational-Programming</w:t>
      </w:r>
      <w:r>
        <w:rPr/>
        <w:t> » : Dans cet article l’auteur fait référence aux raisons qui peuvent pousser un agriculteur à ne pas innover comme le type de décision à prendre, la communication (le réseau), les gains perçu de l’innovation, etc. A partir de travaux sur un panel de gens, il réalise une étude centrée sur des questionnaire pour identifier qui se situe où sur l’axe des adoptant de technologie. Ce que je vois sur son graphique c’est qu’il compare ses populations (lagger à innovator) à une distribution normale. Cependant, moi je constate un pic au niveau des innovateurs qui viendrait justifier le fait que lorsque l’on étudie l’adoption d’une action, il existe une part forte d’adoptant convaincus (ou dans mon cas, de réactant convaincus). Ce pic me pousse à croire que l’auteur voulait surtout justifier une approximation avec la loi normale alors que ma théorie autour de la loi Gamma semble presque plus juste. Après, si on se dit que la volonté d’innover correspond plutôt à la motivation intrinsèque de mes agents dans mon modèle, alors la loi normale me convient très bien.</w:t>
      </w:r>
    </w:p>
    <w:p>
      <w:pPr>
        <w:pStyle w:val="Normal"/>
        <w:bidi w:val="0"/>
        <w:jc w:val="start"/>
        <w:rPr/>
      </w:pPr>
      <w:r>
        <w:rPr/>
      </w:r>
    </w:p>
    <w:p>
      <w:pPr>
        <w:pStyle w:val="Normal"/>
        <w:bidi w:val="0"/>
        <w:jc w:val="start"/>
        <w:rPr/>
      </w:pPr>
      <w:r>
        <w:rPr/>
        <w:t>- D. J. Watts : « </w:t>
      </w:r>
      <w:r>
        <w:rPr>
          <w:b/>
          <w:bCs/>
        </w:rPr>
        <w:t>A simple model of global cascades on random networks</w:t>
      </w:r>
      <w:r>
        <w:rPr/>
        <w:t> » : Dans cet article, l’auteur aborde le sujet des cascades dans les réseaux d’agents. Il présente que le phénomène de cascade peut être plus ou moins rapide et puissant en fonction de différents critères :</w:t>
      </w:r>
    </w:p>
    <w:p>
      <w:pPr>
        <w:pStyle w:val="Normal"/>
        <w:bidi w:val="0"/>
        <w:jc w:val="start"/>
        <w:rPr/>
      </w:pPr>
      <w:r>
        <w:rPr/>
        <w:tab/>
        <w:t>- la qualité du réseau : si chaque nœud est peu connectés la cascade s’arrêtera assez rapidement, si chaque nœud est très connectés, les agents seront influencer par plusieurs source et la cascade perdra également en puissance (les nœuds finissent par s’approcher de la moyenne des décisions). C’est donc dans un monde un peu entre les deux deux que le phénomène de cascade trouve son optimum</w:t>
      </w:r>
    </w:p>
    <w:p>
      <w:pPr>
        <w:pStyle w:val="Normal"/>
        <w:bidi w:val="0"/>
        <w:jc w:val="start"/>
        <w:rPr/>
      </w:pPr>
      <w:r>
        <w:rPr/>
        <w:tab/>
        <w:t>- L’hétérogénéité des seuils des nœuds. Alors le système est vulnérable aux cascades</w:t>
      </w:r>
    </w:p>
    <w:p>
      <w:pPr>
        <w:pStyle w:val="Normal"/>
        <w:bidi w:val="0"/>
        <w:jc w:val="start"/>
        <w:rPr/>
      </w:pPr>
      <w:r>
        <w:rPr/>
        <w:tab/>
        <w:t>- Une hétérogénéité des degrés (?) semble à l’inverse renforcer le système et freiner le phénomène</w:t>
      </w:r>
    </w:p>
    <w:p>
      <w:pPr>
        <w:pStyle w:val="Normal"/>
        <w:bidi w:val="0"/>
        <w:jc w:val="start"/>
        <w:rPr/>
      </w:pPr>
      <w:r>
        <w:rPr/>
        <w:t xml:space="preserve">Dans mon cas, le phénomène de cascade serait plutôt la part des adoptant ou la part des réactant que l’on chercherait à respectivement, maximiser et minimiser. Être dans un environnement hétérogène tendrait à garantir que l’action prenne plus vite mais sans garanti car le réseau joue également un rôle important dans cela. </w:t>
      </w:r>
    </w:p>
    <w:p>
      <w:pPr>
        <w:pStyle w:val="Normal"/>
        <w:bidi w:val="0"/>
        <w:jc w:val="start"/>
        <w:rPr/>
      </w:pPr>
      <w:r>
        <w:rPr/>
      </w:r>
    </w:p>
    <w:p>
      <w:pPr>
        <w:pStyle w:val="Normal"/>
        <w:bidi w:val="0"/>
        <w:jc w:val="start"/>
        <w:rPr/>
      </w:pPr>
      <w:r>
        <w:rPr/>
        <w:t>Nom qui ressortent souvent : Siegel, Dillard, Sunstein, Young</w:t>
      </w:r>
    </w:p>
    <w:p>
      <w:pPr>
        <w:pStyle w:val="Normal"/>
        <w:bidi w:val="0"/>
        <w:jc w:val="start"/>
        <w:rPr/>
      </w:pPr>
      <w:r>
        <w:rPr/>
        <w:t>Termes à la mode : autonomous vehicles, hetergeneous time preferences, technology adoption</w:t>
      </w:r>
    </w:p>
    <w:p>
      <w:pPr>
        <w:pStyle w:val="Normal"/>
        <w:bidi w:val="0"/>
        <w:jc w:val="start"/>
        <w:rPr/>
      </w:pPr>
      <w:r>
        <w:rPr/>
      </w:r>
    </w:p>
    <w:p>
      <w:pPr>
        <w:pStyle w:val="Normal"/>
        <w:bidi w:val="0"/>
        <w:jc w:val="start"/>
        <w:rPr/>
      </w:pPr>
      <w:r>
        <w:rPr/>
        <w:t>- H Bruns, Grischa Perino : « </w:t>
      </w:r>
      <w:r>
        <w:rPr>
          <w:rFonts w:eastAsia="NSimSun" w:cs="Lucida Sans"/>
          <w:b/>
          <w:bCs/>
          <w:color w:val="auto"/>
          <w:kern w:val="2"/>
          <w:sz w:val="24"/>
          <w:szCs w:val="24"/>
          <w:lang w:val="fr-FR" w:eastAsia="zh-CN" w:bidi="hi-IN"/>
        </w:rPr>
        <w:t>The role of autonomy and reactance for nudging — Experimentally comparing defaults to recommendations and mandates</w:t>
      </w:r>
      <w:r>
        <w:rPr/>
        <w:t> » : Un article sur un expérience permettant de mettre en avant que les différents niveaux de politiques publiques sont biens perçus différemment par les gens. Cela justifie bien l’existence d’une variable (n) sur le niveau de perception de l’intensité d’une politique publique.</w:t>
      </w:r>
    </w:p>
    <w:p>
      <w:pPr>
        <w:pStyle w:val="Normal"/>
        <w:bidi w:val="0"/>
        <w:jc w:val="start"/>
        <w:rPr/>
      </w:pPr>
      <w:r>
        <w:rPr/>
      </w:r>
    </w:p>
    <w:p>
      <w:pPr>
        <w:pStyle w:val="Normal"/>
        <w:bidi w:val="0"/>
        <w:jc w:val="start"/>
        <w:rPr/>
      </w:pPr>
      <w:r>
        <w:rPr/>
        <w:t>- B. D. Rosenberg, J. T. Siegel : « </w:t>
      </w:r>
      <w:r>
        <w:rPr>
          <w:rFonts w:eastAsia="NSimSun" w:cs="Lucida Sans"/>
          <w:b/>
          <w:bCs/>
          <w:color w:val="auto"/>
          <w:kern w:val="2"/>
          <w:sz w:val="24"/>
          <w:szCs w:val="24"/>
          <w:lang w:val="fr-FR" w:eastAsia="zh-CN" w:bidi="hi-IN"/>
        </w:rPr>
        <w:t>Psychological Reactance Theory: An Introduction and Overview</w:t>
      </w:r>
      <w:r>
        <w:rPr/>
        <w:t> » : Revue de littérature sur le concept de Reactance.</w:t>
      </w:r>
    </w:p>
    <w:p>
      <w:pPr>
        <w:pStyle w:val="Normal"/>
        <w:bidi w:val="0"/>
        <w:jc w:val="start"/>
        <w:rPr/>
      </w:pPr>
      <w:r>
        <w:rPr/>
      </w:r>
    </w:p>
    <w:p>
      <w:pPr>
        <w:pStyle w:val="Normal"/>
        <w:bidi w:val="0"/>
        <w:jc w:val="start"/>
        <w:rPr/>
      </w:pPr>
      <w:r>
        <w:rPr/>
        <w:t>- N. Boissonnet, A. GHERSENGORIN : « </w:t>
      </w:r>
      <w:r>
        <w:rPr>
          <w:rFonts w:eastAsia="NSimSun" w:cs="Lucida Sans"/>
          <w:b/>
          <w:bCs/>
          <w:color w:val="auto"/>
          <w:kern w:val="2"/>
          <w:sz w:val="24"/>
          <w:szCs w:val="24"/>
          <w:lang w:val="fr-FR" w:eastAsia="zh-CN" w:bidi="hi-IN"/>
        </w:rPr>
        <w:t>GRABBING THE FORBIDDEN FRUIT: RESTRICTION-SENSITIVE CHOICE</w:t>
      </w:r>
      <w:r>
        <w:rPr/>
        <w:t> » : Un modèle qui vient représenter l’effet qui pousse les gens à faire une chose si celle-ci est interdite. C’est un effet backlash des politiques publiques qui reprend la théorie de la Réactance. Il parle de l’inverse de mon modèle mais reste intéressant à étudier.</w:t>
      </w:r>
    </w:p>
    <w:p>
      <w:pPr>
        <w:pStyle w:val="Normal"/>
        <w:bidi w:val="0"/>
        <w:jc w:val="start"/>
        <w:rPr/>
      </w:pPr>
      <w:r>
        <w:rPr/>
      </w:r>
    </w:p>
    <w:p>
      <w:pPr>
        <w:pStyle w:val="Normal"/>
        <w:bidi w:val="0"/>
        <w:jc w:val="start"/>
        <w:rPr/>
      </w:pPr>
      <w:r>
        <w:rPr/>
        <w:t xml:space="preserve"> </w:t>
      </w:r>
    </w:p>
    <w:p>
      <w:pPr>
        <w:pStyle w:val="Normal"/>
        <w:bidi w:val="0"/>
        <w:jc w:val="start"/>
        <w:rPr/>
      </w:pPr>
      <w:r>
        <w:rPr/>
        <w:t>- M. Bertini, A. Aydinli : « </w:t>
      </w:r>
      <w:r>
        <w:rPr>
          <w:rFonts w:eastAsia="NSimSun" w:cs="Lucida Sans"/>
          <w:b/>
          <w:bCs/>
          <w:color w:val="auto"/>
          <w:kern w:val="2"/>
          <w:sz w:val="24"/>
          <w:szCs w:val="24"/>
          <w:lang w:val="fr-FR" w:eastAsia="zh-CN" w:bidi="hi-IN"/>
        </w:rPr>
        <w:t>Consumer Reactance to Promotional Favors</w:t>
      </w:r>
      <w:r>
        <w:rPr/>
        <w:t> » : Dans cet article, les auteurs mettent en avant le fait qu’une promotion accessible via une contrepartie non monétaire se confronte aussi avec une réactance des consommateurs. Ils testent cette hypothèse au travers de plusieurs expériences (1 de terrain et 4 en laboratoire). Ceci permet de justifier le coût qu’une action a pour un agent. Dans mon modèle, le fait de devoir faire une action supplémentaire peut réveiller une part de la réactance. Du coût, la réactance est liée au coût d’une action.</w:t>
      </w:r>
    </w:p>
    <w:p>
      <w:pPr>
        <w:pStyle w:val="Normal"/>
        <w:bidi w:val="0"/>
        <w:jc w:val="start"/>
        <w:rPr/>
      </w:pPr>
      <w:r>
        <w:rPr/>
      </w:r>
    </w:p>
    <w:p>
      <w:pPr>
        <w:pStyle w:val="Normal"/>
        <w:bidi w:val="0"/>
        <w:jc w:val="start"/>
        <w:rPr/>
      </w:pPr>
      <w:r>
        <w:rPr/>
        <w:t>- W. Schnedler, C. Vanberg : « </w:t>
      </w:r>
      <w:r>
        <w:rPr>
          <w:rFonts w:eastAsia="NSimSun" w:cs="Lucida Sans"/>
          <w:b/>
          <w:bCs/>
          <w:color w:val="auto"/>
          <w:kern w:val="2"/>
          <w:sz w:val="24"/>
          <w:szCs w:val="24"/>
          <w:lang w:val="fr-FR" w:eastAsia="zh-CN" w:bidi="hi-IN"/>
        </w:rPr>
        <w:t>Playing 'Hard to Get': An Economic Rationale for Crowding Out of Intrinsically Motivated Behavior</w:t>
      </w:r>
      <w:r>
        <w:rPr/>
        <w:t> » :!WORKING PAPER ! Dans ce papier les auteurs parlent du fait que l’ajout d’une récompense sur une activité que les agents font déjà naturellement pour le plaisir peut avoir un effet de crowding out et entrainer une forme de réactance. C’est une façon supplémentaire de justifier que la réactance existe tout le temps mais aussi que l’usage d’une politique publique impacte celle ci même si elle apporte plus aux agents que si elle n’existait pas. On justifie notre réactance mais aussi notre variable n.</w:t>
      </w:r>
    </w:p>
    <w:p>
      <w:pPr>
        <w:pStyle w:val="Normal"/>
        <w:bidi w:val="0"/>
        <w:jc w:val="start"/>
        <w:rPr/>
      </w:pPr>
      <w:r>
        <w:rPr/>
      </w:r>
    </w:p>
    <w:p>
      <w:pPr>
        <w:pStyle w:val="Normal"/>
        <w:bidi w:val="0"/>
        <w:jc w:val="start"/>
        <w:rPr/>
      </w:pPr>
      <w:r>
        <w:rPr/>
      </w:r>
    </w:p>
    <w:p>
      <w:pPr>
        <w:pStyle w:val="Normal"/>
        <w:bidi w:val="0"/>
        <w:jc w:val="start"/>
        <w:rPr/>
      </w:pPr>
      <w:r>
        <w:rPr/>
        <w:t>- J. P. Dillard, L. Shen : « </w:t>
      </w:r>
      <w:r>
        <w:rPr>
          <w:rFonts w:eastAsia="NSimSun" w:cs="Lucida Sans"/>
          <w:b/>
          <w:bCs/>
          <w:color w:val="auto"/>
          <w:kern w:val="2"/>
          <w:sz w:val="24"/>
          <w:szCs w:val="24"/>
          <w:lang w:val="fr-FR" w:eastAsia="zh-CN" w:bidi="hi-IN"/>
        </w:rPr>
        <w:t>On the Nature of Reactance and its Role in Persuasive Health Communication</w:t>
      </w:r>
      <w:r>
        <w:rPr/>
        <w:t> » : Dans ce papier les auteurs tests des campagnes sur la santé sur des personnes choisies afin de voir s’il est possible de mesurer la réactance. Il regarde aussi, à l’aide de questionnaire, ce qui provoque la réactance. Alors que Brehm soutenait que la réactance ne pouvait pas être mesurée, les auteurs prouvent qu’il est possible de l’évaluer. Ils montrent aussi que le type de message envoyé et les canaux utilisés ont un impact sur la part des agents testés qui réagissent à la campagne. On justifie ici l’existence même du modèle ainsi que n.</w:t>
      </w:r>
    </w:p>
    <w:p>
      <w:pPr>
        <w:pStyle w:val="Normal"/>
        <w:bidi w:val="0"/>
        <w:jc w:val="start"/>
        <w:rPr/>
      </w:pPr>
      <w:r>
        <w:rPr/>
      </w:r>
    </w:p>
    <w:p>
      <w:pPr>
        <w:pStyle w:val="Normal"/>
        <w:bidi w:val="0"/>
        <w:jc w:val="start"/>
        <w:rPr/>
      </w:pPr>
      <w:r>
        <w:rPr/>
        <w:t>- A. Ma, S. Tang, A. C. Kay : « </w:t>
      </w:r>
      <w:r>
        <w:rPr>
          <w:rFonts w:eastAsia="NSimSun" w:cs="Lucida Sans"/>
          <w:b/>
          <w:bCs/>
          <w:color w:val="auto"/>
          <w:kern w:val="2"/>
          <w:sz w:val="24"/>
          <w:szCs w:val="24"/>
          <w:lang w:val="fr-FR" w:eastAsia="zh-CN" w:bidi="hi-IN"/>
        </w:rPr>
        <w:t>Psychological reactance as a function of thought versus behavioral control</w:t>
      </w:r>
      <w:r>
        <w:rPr/>
        <w:t> » : Dans cet article les auteurs tests au cours d’expériences différents types de contrôles appliqués sur les agents. Ils partent de l’hypothèse que les nouveaux moyens s’appuient de plus en plus sur le contrôle de ce que les gens pensent pour modifier le comportement plutôt que de conduire leur comportement directement. Ils trouvent que les agents ressentent plus la tentative de contrôle dans le premier cas et se montrent plus hostiles ou plus prudents. Cet article nous permet de justifier de l’intérêt de mettre en place un modèle prédictif permettant d’évaluer les méthode de campagnes et d’en déduire un niveau de réactance dans la population. Il justifie aussi l’existence de la variable n comme perception de l’intensité d’une politique publique.</w:t>
      </w:r>
    </w:p>
    <w:p>
      <w:pPr>
        <w:pStyle w:val="Normal"/>
        <w:bidi w:val="0"/>
        <w:jc w:val="start"/>
        <w:rPr/>
      </w:pPr>
      <w:r>
        <w:rPr/>
      </w:r>
    </w:p>
    <w:p>
      <w:pPr>
        <w:pStyle w:val="Normal"/>
        <w:bidi w:val="0"/>
        <w:jc w:val="start"/>
        <w:rPr/>
      </w:pPr>
      <w:r>
        <w:rPr/>
        <w:t>- G. J. Fitzsimons, D. R. Lehmann : « </w:t>
      </w:r>
      <w:r>
        <w:rPr>
          <w:rFonts w:eastAsia="NSimSun" w:cs="Lucida Sans"/>
          <w:b/>
          <w:bCs/>
          <w:color w:val="auto"/>
          <w:kern w:val="2"/>
          <w:sz w:val="24"/>
          <w:szCs w:val="24"/>
          <w:lang w:val="fr-FR" w:eastAsia="zh-CN" w:bidi="hi-IN"/>
        </w:rPr>
        <w:t>Reactance to Recommendations: When Unsolicited Advice Yields Contrary Responses</w:t>
      </w:r>
      <w:r>
        <w:rPr/>
        <w:t> »: Dans cet article, les auteurs montrent qu’une recommandation dans un contexte où celle-ci n’était pas attendue, a un effet contre productif. Les agents sentent une tentative de contrôle et sont plus réactant. Cet article justifie une fois de plus l’intérêt du modèle et la relation entre la forme de la politique publique et la réactance.</w:t>
      </w:r>
    </w:p>
    <w:p>
      <w:pPr>
        <w:pStyle w:val="Normal"/>
        <w:bidi w:val="0"/>
        <w:jc w:val="start"/>
        <w:rPr/>
      </w:pPr>
      <w:r>
        <w:rPr/>
      </w:r>
    </w:p>
    <w:p>
      <w:pPr>
        <w:pStyle w:val="Normal"/>
        <w:bidi w:val="0"/>
        <w:jc w:val="start"/>
        <w:rPr/>
      </w:pPr>
      <w:r>
        <w:rPr/>
        <w:t>- C. Steindl, E. Jonas, S. Sittenthaler, E. Traut-Mattausch, J. Greenberg : « </w:t>
      </w:r>
      <w:r>
        <w:rPr>
          <w:rFonts w:eastAsia="NSimSun" w:cs="Lucida Sans"/>
          <w:b/>
          <w:bCs/>
          <w:color w:val="auto"/>
          <w:kern w:val="2"/>
          <w:sz w:val="24"/>
          <w:szCs w:val="24"/>
          <w:lang w:val="fr-FR" w:eastAsia="zh-CN" w:bidi="hi-IN"/>
        </w:rPr>
        <w:t>Understanding Psychological Reactance New Developments and Findings</w:t>
      </w:r>
      <w:r>
        <w:rPr/>
        <w:t> » :  Cet article est un état des lieux de la recherche sur la réactance 50 ans après le publication de Brehm.</w:t>
      </w:r>
    </w:p>
    <w:p>
      <w:pPr>
        <w:pStyle w:val="Normal"/>
        <w:bidi w:val="0"/>
        <w:jc w:val="start"/>
        <w:rPr/>
      </w:pPr>
      <w:r>
        <w:rPr/>
      </w:r>
    </w:p>
    <w:p>
      <w:pPr>
        <w:pStyle w:val="Normal"/>
        <w:bidi w:val="0"/>
        <w:jc w:val="start"/>
        <w:rPr/>
      </w:pPr>
      <w:r>
        <w:rPr/>
        <w:t>- A. Falk, M. Kosfeld : « </w:t>
      </w:r>
      <w:r>
        <w:rPr>
          <w:rFonts w:eastAsia="NSimSun" w:cs="Lucida Sans"/>
          <w:b/>
          <w:bCs/>
          <w:color w:val="auto"/>
          <w:kern w:val="2"/>
          <w:sz w:val="24"/>
          <w:szCs w:val="24"/>
          <w:lang w:val="fr-FR" w:eastAsia="zh-CN" w:bidi="hi-IN"/>
        </w:rPr>
        <w:t>The hidden costs of control</w:t>
      </w:r>
      <w:r>
        <w:rPr/>
        <w:t xml:space="preserve"> » : Dans cet article les auteurs montrent comment une tentative de contrôle sur des agents peut les rendre moins productifs et baisser leur motivation. Au cours d’expériences, ils constatent que les agents averses aux contrôle baissent leur productivité dès qu’une autre agent tente de leur imposer un minimum. Cet article parle pour la première fois de la motivation. Dans ce cadre, celle-ci est diminuer par le contrôle et le contrôle est donc vu comme un élément de réactance. Cela justifie certes, la présence de n dans l’équation mais me fait me poser des questions sur l’équation entière : celle ci ne devrait-elle pas donner la motivation par agent ? Est-ce que la motivation est un élément à mettre en face de la réactance ou la réactance à introduire dans la motivation ?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fr-FR" w:eastAsia="zh-CN" w:bidi="hi-IN"/>
    </w:rPr>
  </w:style>
  <w:style w:type="paragraph" w:styleId="Heading3">
    <w:name w:val="heading 3"/>
    <w:basedOn w:val="Titre"/>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424</TotalTime>
  <Application>LibreOffice/24.8.0.3$Windows_X86_64 LibreOffice_project/0bdf1299c94fe897b119f97f3c613e9dca6be583</Application>
  <AppVersion>15.0000</AppVersion>
  <Pages>9</Pages>
  <Words>5653</Words>
  <Characters>29544</Characters>
  <CharactersWithSpaces>35160</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2026-06-01T16:31:31Z</dcterms:created>
  <dc:creator/>
  <dc:description/>
  <dc:language>fr-FR</dc:language>
  <cp:lastModifiedBy/>
  <dcterms:modified xsi:type="dcterms:W3CDTF">2026-08-04T16:16:36Z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file>